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27" w:rsidRDefault="00862127" w:rsidP="00074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7B" w:rsidRDefault="0007417B" w:rsidP="00074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>NOTA DE AUDITORIA INTERNA</w:t>
      </w:r>
      <w:r w:rsidR="005A1DD0" w:rsidRPr="00E06EF1">
        <w:rPr>
          <w:rFonts w:ascii="Times New Roman" w:hAnsi="Times New Roman" w:cs="Times New Roman"/>
          <w:b/>
          <w:sz w:val="24"/>
          <w:szCs w:val="24"/>
        </w:rPr>
        <w:t xml:space="preserve"> Nº 01/2015</w:t>
      </w:r>
    </w:p>
    <w:p w:rsidR="00862127" w:rsidRPr="00E06EF1" w:rsidRDefault="00862127" w:rsidP="00074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7B" w:rsidRDefault="0007417B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 xml:space="preserve">UNIDADE EXAMINADA: </w:t>
      </w:r>
      <w:r w:rsidR="005A1DD0" w:rsidRPr="00E06EF1">
        <w:rPr>
          <w:rFonts w:ascii="Times New Roman" w:hAnsi="Times New Roman" w:cs="Times New Roman"/>
          <w:sz w:val="24"/>
          <w:szCs w:val="24"/>
        </w:rPr>
        <w:t>COMISSÃO PERMANENTE DE ANÁLISE DE ACUMULAÇÃO DE CARGOS.</w:t>
      </w:r>
    </w:p>
    <w:p w:rsidR="0007417B" w:rsidRPr="00EF7E63" w:rsidRDefault="0007417B" w:rsidP="00EF7E6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63">
        <w:rPr>
          <w:rFonts w:ascii="Times New Roman" w:hAnsi="Times New Roman" w:cs="Times New Roman"/>
          <w:b/>
          <w:sz w:val="24"/>
          <w:szCs w:val="24"/>
        </w:rPr>
        <w:t>DESCRIÇÃO SUMÁRIA</w:t>
      </w:r>
    </w:p>
    <w:p w:rsidR="00656F4C" w:rsidRPr="00E06EF1" w:rsidRDefault="005A1DD0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Ausência de apuração de casos de acumulação ilegal de cargos, empregos e funções e vínculos com empresas privadas.</w:t>
      </w:r>
    </w:p>
    <w:p w:rsidR="0007417B" w:rsidRPr="00E06EF1" w:rsidRDefault="0007417B" w:rsidP="00074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>FATO</w:t>
      </w:r>
    </w:p>
    <w:p w:rsidR="005A1DD0" w:rsidRPr="00E06EF1" w:rsidRDefault="005A1DD0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 xml:space="preserve">Nos trabalhos </w:t>
      </w:r>
      <w:r w:rsidR="00FA1F39" w:rsidRPr="00E06EF1">
        <w:rPr>
          <w:rFonts w:ascii="Times New Roman" w:hAnsi="Times New Roman" w:cs="Times New Roman"/>
          <w:sz w:val="24"/>
          <w:szCs w:val="24"/>
        </w:rPr>
        <w:t>de</w:t>
      </w:r>
      <w:r w:rsidRPr="00E06EF1">
        <w:rPr>
          <w:rFonts w:ascii="Times New Roman" w:hAnsi="Times New Roman" w:cs="Times New Roman"/>
          <w:sz w:val="24"/>
          <w:szCs w:val="24"/>
        </w:rPr>
        <w:t xml:space="preserve"> Auditoria da Folha de Pagamento realizamos uma verificação de todos os</w:t>
      </w:r>
      <w:r w:rsidR="00FA1F39" w:rsidRPr="00E06EF1">
        <w:rPr>
          <w:rFonts w:ascii="Times New Roman" w:hAnsi="Times New Roman" w:cs="Times New Roman"/>
          <w:sz w:val="24"/>
          <w:szCs w:val="24"/>
        </w:rPr>
        <w:t xml:space="preserve"> casos de Acumulação ilegal de Cargos, Empregos e F</w:t>
      </w:r>
      <w:r w:rsidRPr="00E06EF1">
        <w:rPr>
          <w:rFonts w:ascii="Times New Roman" w:hAnsi="Times New Roman" w:cs="Times New Roman"/>
          <w:sz w:val="24"/>
          <w:szCs w:val="24"/>
        </w:rPr>
        <w:t>unções e vínculo com empresas privadas para verificar se houveram procedimentos de apuração para todos os casos já apontados pelos órgãos de controle.</w:t>
      </w:r>
    </w:p>
    <w:p w:rsidR="00982218" w:rsidRPr="00E06EF1" w:rsidRDefault="00982218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 xml:space="preserve">Inicialmente foi requerido o controle de todos os processos que se encontravam em fase de apuração pela </w:t>
      </w:r>
      <w:r w:rsidR="00FA1F39" w:rsidRPr="00E06EF1">
        <w:rPr>
          <w:rFonts w:ascii="Times New Roman" w:hAnsi="Times New Roman" w:cs="Times New Roman"/>
          <w:sz w:val="24"/>
          <w:szCs w:val="24"/>
        </w:rPr>
        <w:t>COPAAC</w:t>
      </w:r>
      <w:r w:rsidRPr="00E06EF1">
        <w:rPr>
          <w:rFonts w:ascii="Times New Roman" w:hAnsi="Times New Roman" w:cs="Times New Roman"/>
          <w:sz w:val="24"/>
          <w:szCs w:val="24"/>
        </w:rPr>
        <w:t xml:space="preserve">, através da Solicitação nº 21/2015-AUDIN. A relação foi encaminhada em planilha Excel e foi feito o cruzamento com os casos apontados pelos órgãos de controle. Desse cruzamento verificamos que alguns não constavam na planilha encaminhada pela </w:t>
      </w:r>
      <w:r w:rsidR="00FA1F39" w:rsidRPr="00E06EF1">
        <w:rPr>
          <w:rFonts w:ascii="Times New Roman" w:hAnsi="Times New Roman" w:cs="Times New Roman"/>
          <w:sz w:val="24"/>
          <w:szCs w:val="24"/>
        </w:rPr>
        <w:t>referida comissão</w:t>
      </w:r>
      <w:r w:rsidRPr="00E06EF1">
        <w:rPr>
          <w:rFonts w:ascii="Times New Roman" w:hAnsi="Times New Roman" w:cs="Times New Roman"/>
          <w:sz w:val="24"/>
          <w:szCs w:val="24"/>
        </w:rPr>
        <w:t>.</w:t>
      </w:r>
    </w:p>
    <w:p w:rsidR="00F96B8D" w:rsidRPr="00E06EF1" w:rsidRDefault="00982218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 xml:space="preserve">Assim, foi emitida </w:t>
      </w:r>
      <w:r w:rsidR="005A1DD0" w:rsidRPr="00E06EF1">
        <w:rPr>
          <w:rFonts w:ascii="Times New Roman" w:hAnsi="Times New Roman" w:cs="Times New Roman"/>
          <w:sz w:val="24"/>
          <w:szCs w:val="24"/>
        </w:rPr>
        <w:t>Solicitação de Auditoria nº 38/2015</w:t>
      </w:r>
      <w:r w:rsidRPr="00E06EF1">
        <w:rPr>
          <w:rFonts w:ascii="Times New Roman" w:hAnsi="Times New Roman" w:cs="Times New Roman"/>
          <w:sz w:val="24"/>
          <w:szCs w:val="24"/>
        </w:rPr>
        <w:t xml:space="preserve">-AUDIN à COPAAC para que a mesma informasse sobre a existência desses processos </w:t>
      </w:r>
      <w:proofErr w:type="spellStart"/>
      <w:r w:rsidRPr="00E06EF1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E0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8D" w:rsidRPr="00E06EF1" w:rsidRDefault="00982218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 xml:space="preserve">Em resposta, </w:t>
      </w:r>
      <w:r w:rsidR="00815B37" w:rsidRPr="00E06EF1">
        <w:rPr>
          <w:rFonts w:ascii="Times New Roman" w:hAnsi="Times New Roman" w:cs="Times New Roman"/>
          <w:sz w:val="24"/>
          <w:szCs w:val="24"/>
        </w:rPr>
        <w:t xml:space="preserve">o presidente da comissão informou </w:t>
      </w:r>
      <w:r w:rsidR="00436CE7" w:rsidRPr="00E06EF1">
        <w:rPr>
          <w:rFonts w:ascii="Times New Roman" w:hAnsi="Times New Roman" w:cs="Times New Roman"/>
          <w:sz w:val="24"/>
          <w:szCs w:val="24"/>
        </w:rPr>
        <w:t xml:space="preserve">através do </w:t>
      </w:r>
      <w:proofErr w:type="spellStart"/>
      <w:r w:rsidR="00436CE7" w:rsidRPr="00E06EF1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="00436CE7" w:rsidRPr="00E06EF1">
        <w:rPr>
          <w:rFonts w:ascii="Times New Roman" w:hAnsi="Times New Roman" w:cs="Times New Roman"/>
          <w:sz w:val="24"/>
          <w:szCs w:val="24"/>
        </w:rPr>
        <w:t xml:space="preserve"> nº 23/2015-AUDIN</w:t>
      </w:r>
      <w:r w:rsidR="00F96B8D" w:rsidRPr="00E06EF1">
        <w:rPr>
          <w:rFonts w:ascii="Times New Roman" w:hAnsi="Times New Roman" w:cs="Times New Roman"/>
          <w:sz w:val="24"/>
          <w:szCs w:val="24"/>
        </w:rPr>
        <w:t xml:space="preserve"> que os casos solicitados no item 1 da Solicitação de Auditoria</w:t>
      </w:r>
      <w:r w:rsidR="00FA1F39" w:rsidRPr="00E06EF1">
        <w:rPr>
          <w:rFonts w:ascii="Times New Roman" w:hAnsi="Times New Roman" w:cs="Times New Roman"/>
          <w:sz w:val="24"/>
          <w:szCs w:val="24"/>
        </w:rPr>
        <w:t xml:space="preserve"> existiam e</w:t>
      </w:r>
      <w:r w:rsidR="00F96B8D" w:rsidRPr="00E06EF1">
        <w:rPr>
          <w:rFonts w:ascii="Times New Roman" w:hAnsi="Times New Roman" w:cs="Times New Roman"/>
          <w:sz w:val="24"/>
          <w:szCs w:val="24"/>
        </w:rPr>
        <w:t xml:space="preserve"> estavam e</w:t>
      </w:r>
      <w:r w:rsidR="00FA1F39" w:rsidRPr="00E06EF1">
        <w:rPr>
          <w:rFonts w:ascii="Times New Roman" w:hAnsi="Times New Roman" w:cs="Times New Roman"/>
          <w:sz w:val="24"/>
          <w:szCs w:val="24"/>
        </w:rPr>
        <w:t>m</w:t>
      </w:r>
      <w:r w:rsidR="00F96B8D" w:rsidRPr="00E06EF1">
        <w:rPr>
          <w:rFonts w:ascii="Times New Roman" w:hAnsi="Times New Roman" w:cs="Times New Roman"/>
          <w:sz w:val="24"/>
          <w:szCs w:val="24"/>
        </w:rPr>
        <w:t xml:space="preserve"> fase de apuração, detalhando a situação de cada um dos servidores.</w:t>
      </w:r>
    </w:p>
    <w:p w:rsidR="00F96B8D" w:rsidRPr="00E06EF1" w:rsidRDefault="00F96B8D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Já no item 2, verificamos que alguns servidores possuíam mais de um vínculo além do da UFRPE. Em resposta</w:t>
      </w:r>
      <w:r w:rsidR="00EF7E63">
        <w:rPr>
          <w:rFonts w:ascii="Times New Roman" w:hAnsi="Times New Roman" w:cs="Times New Roman"/>
          <w:sz w:val="24"/>
          <w:szCs w:val="24"/>
        </w:rPr>
        <w:t>,</w:t>
      </w:r>
      <w:r w:rsidRPr="00E06EF1">
        <w:rPr>
          <w:rFonts w:ascii="Times New Roman" w:hAnsi="Times New Roman" w:cs="Times New Roman"/>
          <w:sz w:val="24"/>
          <w:szCs w:val="24"/>
        </w:rPr>
        <w:t xml:space="preserve"> a COPAAC confirmou que nem todos estavam sendo apurados</w:t>
      </w:r>
      <w:r w:rsidR="008E466E" w:rsidRPr="00E06EF1">
        <w:rPr>
          <w:rFonts w:ascii="Times New Roman" w:hAnsi="Times New Roman" w:cs="Times New Roman"/>
          <w:sz w:val="24"/>
          <w:szCs w:val="24"/>
        </w:rPr>
        <w:t xml:space="preserve">, detalhando quais dos listados haviam sido iniciados. </w:t>
      </w:r>
    </w:p>
    <w:p w:rsidR="008E466E" w:rsidRPr="00E06EF1" w:rsidRDefault="008E466E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A relação abaixo demonstra os casos que não foram apurados:</w:t>
      </w:r>
    </w:p>
    <w:tbl>
      <w:tblPr>
        <w:tblStyle w:val="Tabelacomgrade"/>
        <w:tblW w:w="8500" w:type="dxa"/>
        <w:tblLook w:val="04A0"/>
      </w:tblPr>
      <w:tblGrid>
        <w:gridCol w:w="1153"/>
        <w:gridCol w:w="2528"/>
        <w:gridCol w:w="2977"/>
        <w:gridCol w:w="1842"/>
      </w:tblGrid>
      <w:tr w:rsidR="00651BF5" w:rsidRPr="00E06EF1" w:rsidTr="008E466E">
        <w:tc>
          <w:tcPr>
            <w:tcW w:w="1153" w:type="dxa"/>
            <w:shd w:val="clear" w:color="auto" w:fill="A6A6A6" w:themeFill="background1" w:themeFillShade="A6"/>
          </w:tcPr>
          <w:p w:rsidR="00651BF5" w:rsidRPr="00E06EF1" w:rsidRDefault="00651BF5" w:rsidP="008E4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b/>
                <w:sz w:val="20"/>
                <w:szCs w:val="20"/>
              </w:rPr>
              <w:t>Matricula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:rsidR="00651BF5" w:rsidRPr="00E06EF1" w:rsidRDefault="00651BF5" w:rsidP="008E4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51BF5" w:rsidRPr="00E06EF1" w:rsidRDefault="00651BF5" w:rsidP="008E4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b/>
                <w:sz w:val="20"/>
                <w:szCs w:val="20"/>
              </w:rPr>
              <w:t>Vínculo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51BF5" w:rsidRPr="00E06EF1" w:rsidRDefault="00651BF5" w:rsidP="008E4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b/>
                <w:sz w:val="20"/>
                <w:szCs w:val="20"/>
              </w:rPr>
              <w:t>Documento</w:t>
            </w:r>
          </w:p>
        </w:tc>
      </w:tr>
      <w:tr w:rsidR="00651BF5" w:rsidRPr="00E06EF1" w:rsidTr="00276209">
        <w:tc>
          <w:tcPr>
            <w:tcW w:w="1153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385019</w:t>
            </w:r>
          </w:p>
        </w:tc>
        <w:tc>
          <w:tcPr>
            <w:tcW w:w="2528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Admilson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Ribeiro Toscano Brito</w:t>
            </w:r>
          </w:p>
        </w:tc>
        <w:tc>
          <w:tcPr>
            <w:tcW w:w="2977" w:type="dxa"/>
            <w:shd w:val="clear" w:color="auto" w:fill="auto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Prof. Biologia Cong. Das Irmãs Auxiliares</w:t>
            </w:r>
          </w:p>
        </w:tc>
        <w:tc>
          <w:tcPr>
            <w:tcW w:w="1842" w:type="dxa"/>
          </w:tcPr>
          <w:p w:rsidR="00651BF5" w:rsidRPr="00E06EF1" w:rsidRDefault="00EA1CB1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651BF5" w:rsidRPr="00E06EF1" w:rsidTr="00276209">
        <w:tc>
          <w:tcPr>
            <w:tcW w:w="1153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385019</w:t>
            </w:r>
          </w:p>
        </w:tc>
        <w:tc>
          <w:tcPr>
            <w:tcW w:w="2528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Admilson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Ribeiro Toscano Brito</w:t>
            </w:r>
          </w:p>
        </w:tc>
        <w:tc>
          <w:tcPr>
            <w:tcW w:w="2977" w:type="dxa"/>
            <w:shd w:val="clear" w:color="auto" w:fill="auto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Município de Itanhém</w:t>
            </w:r>
          </w:p>
        </w:tc>
        <w:tc>
          <w:tcPr>
            <w:tcW w:w="1842" w:type="dxa"/>
          </w:tcPr>
          <w:p w:rsidR="00651BF5" w:rsidRPr="00E06EF1" w:rsidRDefault="00EA1CB1" w:rsidP="00651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651BF5" w:rsidRPr="00E06EF1" w:rsidTr="00276209">
        <w:tc>
          <w:tcPr>
            <w:tcW w:w="1153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385019</w:t>
            </w:r>
          </w:p>
        </w:tc>
        <w:tc>
          <w:tcPr>
            <w:tcW w:w="2528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Admilson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Ribeiro Toscano Brito</w:t>
            </w:r>
          </w:p>
        </w:tc>
        <w:tc>
          <w:tcPr>
            <w:tcW w:w="2977" w:type="dxa"/>
            <w:shd w:val="clear" w:color="auto" w:fill="auto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Prof. Município de Estância Balneária de </w:t>
            </w: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Peruibe</w:t>
            </w:r>
            <w:proofErr w:type="spellEnd"/>
          </w:p>
        </w:tc>
        <w:tc>
          <w:tcPr>
            <w:tcW w:w="1842" w:type="dxa"/>
          </w:tcPr>
          <w:p w:rsidR="00651BF5" w:rsidRPr="00E06EF1" w:rsidRDefault="00EA1CB1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651BF5" w:rsidRPr="00E06EF1" w:rsidTr="00276209">
        <w:tc>
          <w:tcPr>
            <w:tcW w:w="1153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385019</w:t>
            </w:r>
          </w:p>
        </w:tc>
        <w:tc>
          <w:tcPr>
            <w:tcW w:w="2528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Admilson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Ribeiro Toscano Brito</w:t>
            </w:r>
          </w:p>
        </w:tc>
        <w:tc>
          <w:tcPr>
            <w:tcW w:w="2977" w:type="dxa"/>
            <w:shd w:val="clear" w:color="auto" w:fill="auto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Prof. Biologia no Instituto de Educação e Assistência Lucia </w:t>
            </w: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Filipinni</w:t>
            </w:r>
            <w:proofErr w:type="spellEnd"/>
          </w:p>
        </w:tc>
        <w:tc>
          <w:tcPr>
            <w:tcW w:w="1842" w:type="dxa"/>
          </w:tcPr>
          <w:p w:rsidR="00651BF5" w:rsidRPr="00E06EF1" w:rsidRDefault="00EA1CB1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651BF5" w:rsidRPr="00E06EF1" w:rsidTr="00276209">
        <w:tc>
          <w:tcPr>
            <w:tcW w:w="1153" w:type="dxa"/>
          </w:tcPr>
          <w:p w:rsidR="00651BF5" w:rsidRPr="00E06EF1" w:rsidRDefault="00651BF5" w:rsidP="000741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3093911</w:t>
            </w:r>
          </w:p>
        </w:tc>
        <w:tc>
          <w:tcPr>
            <w:tcW w:w="2528" w:type="dxa"/>
          </w:tcPr>
          <w:p w:rsidR="00651BF5" w:rsidRPr="00E06EF1" w:rsidRDefault="00276209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Antônio Carlos da Silva Miranda</w:t>
            </w:r>
          </w:p>
        </w:tc>
        <w:tc>
          <w:tcPr>
            <w:tcW w:w="2977" w:type="dxa"/>
            <w:shd w:val="clear" w:color="auto" w:fill="auto"/>
          </w:tcPr>
          <w:p w:rsidR="00651BF5" w:rsidRPr="00E06EF1" w:rsidRDefault="00276209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Fundação de Ensino Superior de Olinda</w:t>
            </w:r>
          </w:p>
        </w:tc>
        <w:tc>
          <w:tcPr>
            <w:tcW w:w="1842" w:type="dxa"/>
          </w:tcPr>
          <w:p w:rsidR="00651BF5" w:rsidRPr="00E06EF1" w:rsidRDefault="00390FCC" w:rsidP="0007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RA 201410709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390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6383008</w:t>
            </w:r>
          </w:p>
        </w:tc>
        <w:tc>
          <w:tcPr>
            <w:tcW w:w="2528" w:type="dxa"/>
          </w:tcPr>
          <w:p w:rsidR="00EA1CB1" w:rsidRPr="00E06EF1" w:rsidRDefault="00EA1CB1" w:rsidP="00390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Antônio Pedro Soares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390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Professor em Autarquia Educacional da Mata Sul</w:t>
            </w:r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1663626</w:t>
            </w:r>
          </w:p>
        </w:tc>
        <w:tc>
          <w:tcPr>
            <w:tcW w:w="2528" w:type="dxa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Claudemir Santos da Costa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Professor da Autarquia Educacional de Serra Talhada</w:t>
            </w:r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383875</w:t>
            </w:r>
          </w:p>
        </w:tc>
        <w:tc>
          <w:tcPr>
            <w:tcW w:w="2528" w:type="dxa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Cleto Bezerra de França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AE7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Professor na Universidade Católica de Pernambuco</w:t>
            </w:r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383075</w:t>
            </w:r>
          </w:p>
        </w:tc>
        <w:tc>
          <w:tcPr>
            <w:tcW w:w="2528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Clodomir</w:t>
            </w:r>
            <w:proofErr w:type="spellEnd"/>
            <w:proofErr w:type="gram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Guedes Lopes Junior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Farmaceutico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na Farmácia Jangadeiro</w:t>
            </w:r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383075</w:t>
            </w:r>
          </w:p>
        </w:tc>
        <w:tc>
          <w:tcPr>
            <w:tcW w:w="2528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Clodomir</w:t>
            </w:r>
            <w:proofErr w:type="spellEnd"/>
            <w:proofErr w:type="gram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Guedes Lopes Junior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Centro Veterinário de Carpina </w:t>
            </w: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383075</w:t>
            </w:r>
          </w:p>
        </w:tc>
        <w:tc>
          <w:tcPr>
            <w:tcW w:w="2528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Clodomir</w:t>
            </w:r>
            <w:proofErr w:type="spellEnd"/>
            <w:proofErr w:type="gram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Guedes Lopes Junior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Milenar representações</w:t>
            </w:r>
            <w:proofErr w:type="gram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1842" w:type="dxa"/>
          </w:tcPr>
          <w:p w:rsidR="00EA1CB1" w:rsidRDefault="00EA1CB1">
            <w:r w:rsidRPr="002D332C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8E466E" w:rsidRPr="00E06EF1" w:rsidTr="00276209">
        <w:tc>
          <w:tcPr>
            <w:tcW w:w="1153" w:type="dxa"/>
          </w:tcPr>
          <w:p w:rsidR="008E466E" w:rsidRPr="00E06EF1" w:rsidRDefault="008E466E" w:rsidP="00626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383154</w:t>
            </w:r>
          </w:p>
        </w:tc>
        <w:tc>
          <w:tcPr>
            <w:tcW w:w="2528" w:type="dxa"/>
          </w:tcPr>
          <w:p w:rsidR="008E466E" w:rsidRPr="00E06EF1" w:rsidRDefault="008E466E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Eurico Lustosa do Nascimento</w:t>
            </w:r>
          </w:p>
        </w:tc>
        <w:tc>
          <w:tcPr>
            <w:tcW w:w="2977" w:type="dxa"/>
            <w:shd w:val="clear" w:color="auto" w:fill="auto"/>
          </w:tcPr>
          <w:p w:rsidR="008E466E" w:rsidRPr="00E06EF1" w:rsidRDefault="008E466E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Sociedade Filarmônica 16 de Julho</w:t>
            </w:r>
          </w:p>
        </w:tc>
        <w:tc>
          <w:tcPr>
            <w:tcW w:w="1842" w:type="dxa"/>
          </w:tcPr>
          <w:p w:rsidR="008E466E" w:rsidRPr="00E06EF1" w:rsidRDefault="008E466E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RA 224887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3476445</w:t>
            </w:r>
          </w:p>
        </w:tc>
        <w:tc>
          <w:tcPr>
            <w:tcW w:w="2528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Francisco Valério Alves Filho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Dirigente do Tribunal de Justiça de Pernambuco</w:t>
            </w:r>
          </w:p>
        </w:tc>
        <w:tc>
          <w:tcPr>
            <w:tcW w:w="1842" w:type="dxa"/>
          </w:tcPr>
          <w:p w:rsidR="00EA1CB1" w:rsidRDefault="00EA1CB1">
            <w:r w:rsidRPr="00234B19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3476445</w:t>
            </w:r>
          </w:p>
        </w:tc>
        <w:tc>
          <w:tcPr>
            <w:tcW w:w="2528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Francisco Valério Alves Filho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Professor da Associação Olindense Dom Vital</w:t>
            </w:r>
          </w:p>
        </w:tc>
        <w:tc>
          <w:tcPr>
            <w:tcW w:w="1842" w:type="dxa"/>
          </w:tcPr>
          <w:p w:rsidR="00EA1CB1" w:rsidRDefault="00EA1CB1">
            <w:r w:rsidRPr="00234B19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3476445</w:t>
            </w:r>
          </w:p>
        </w:tc>
        <w:tc>
          <w:tcPr>
            <w:tcW w:w="2528" w:type="dxa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Francisco Valério Alves Filho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62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Professor do SER EDUCACIONAL S.A</w:t>
            </w:r>
          </w:p>
        </w:tc>
        <w:tc>
          <w:tcPr>
            <w:tcW w:w="1842" w:type="dxa"/>
          </w:tcPr>
          <w:p w:rsidR="00EA1CB1" w:rsidRDefault="00EA1CB1">
            <w:r w:rsidRPr="00234B19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  <w:tr w:rsidR="00EA1CB1" w:rsidRPr="00E06EF1" w:rsidTr="00276209">
        <w:tc>
          <w:tcPr>
            <w:tcW w:w="1153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6E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1116899</w:t>
            </w:r>
          </w:p>
        </w:tc>
        <w:tc>
          <w:tcPr>
            <w:tcW w:w="2528" w:type="dxa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Rosalia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Ferreira da Silva</w:t>
            </w:r>
          </w:p>
        </w:tc>
        <w:tc>
          <w:tcPr>
            <w:tcW w:w="2977" w:type="dxa"/>
            <w:shd w:val="clear" w:color="auto" w:fill="auto"/>
          </w:tcPr>
          <w:p w:rsidR="00EA1CB1" w:rsidRPr="00E06EF1" w:rsidRDefault="00EA1CB1" w:rsidP="008F0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Farmaceutica</w:t>
            </w:r>
            <w:proofErr w:type="spellEnd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E06EF1">
              <w:rPr>
                <w:rFonts w:ascii="Times New Roman" w:hAnsi="Times New Roman" w:cs="Times New Roman"/>
                <w:sz w:val="20"/>
                <w:szCs w:val="20"/>
              </w:rPr>
              <w:t>Drogamed</w:t>
            </w:r>
            <w:proofErr w:type="spellEnd"/>
          </w:p>
        </w:tc>
        <w:tc>
          <w:tcPr>
            <w:tcW w:w="1842" w:type="dxa"/>
          </w:tcPr>
          <w:p w:rsidR="00EA1CB1" w:rsidRDefault="00EA1CB1">
            <w:r w:rsidRPr="00234B19">
              <w:rPr>
                <w:rFonts w:ascii="Times New Roman" w:hAnsi="Times New Roman" w:cs="Times New Roman"/>
                <w:sz w:val="20"/>
                <w:szCs w:val="20"/>
              </w:rPr>
              <w:t>RA 201108973</w:t>
            </w:r>
          </w:p>
        </w:tc>
      </w:tr>
    </w:tbl>
    <w:p w:rsidR="00295C6E" w:rsidRPr="00E06EF1" w:rsidRDefault="00295C6E" w:rsidP="0007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CB1" w:rsidRDefault="005F1D1D" w:rsidP="00EA1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 xml:space="preserve">Desse modo, verifica-se que mesmo que alguns </w:t>
      </w:r>
      <w:r w:rsidR="00D03B85" w:rsidRPr="00E06EF1">
        <w:rPr>
          <w:rFonts w:ascii="Times New Roman" w:hAnsi="Times New Roman" w:cs="Times New Roman"/>
          <w:sz w:val="24"/>
          <w:szCs w:val="24"/>
        </w:rPr>
        <w:t>processos de apuração de indícios de irregularidade no acúmulo de cargos, empregos e funções tenham sido iniciados ou já apurados,</w:t>
      </w:r>
      <w:r w:rsidRPr="00E06EF1">
        <w:rPr>
          <w:rFonts w:ascii="Times New Roman" w:hAnsi="Times New Roman" w:cs="Times New Roman"/>
          <w:sz w:val="24"/>
          <w:szCs w:val="24"/>
        </w:rPr>
        <w:t xml:space="preserve"> os mesmos não incluem todos os cargos ou empresas que os servidores </w:t>
      </w:r>
      <w:r w:rsidR="00D03B85" w:rsidRPr="00E06EF1">
        <w:rPr>
          <w:rFonts w:ascii="Times New Roman" w:hAnsi="Times New Roman" w:cs="Times New Roman"/>
          <w:sz w:val="24"/>
          <w:szCs w:val="24"/>
        </w:rPr>
        <w:t xml:space="preserve">já </w:t>
      </w:r>
      <w:r w:rsidRPr="00E06EF1">
        <w:rPr>
          <w:rFonts w:ascii="Times New Roman" w:hAnsi="Times New Roman" w:cs="Times New Roman"/>
          <w:sz w:val="24"/>
          <w:szCs w:val="24"/>
        </w:rPr>
        <w:t xml:space="preserve">tiveram ou </w:t>
      </w:r>
      <w:r w:rsidR="00D03B85" w:rsidRPr="00E06EF1">
        <w:rPr>
          <w:rFonts w:ascii="Times New Roman" w:hAnsi="Times New Roman" w:cs="Times New Roman"/>
          <w:sz w:val="24"/>
          <w:szCs w:val="24"/>
        </w:rPr>
        <w:t xml:space="preserve">ainda possuem </w:t>
      </w:r>
      <w:r w:rsidRPr="00E06EF1">
        <w:rPr>
          <w:rFonts w:ascii="Times New Roman" w:hAnsi="Times New Roman" w:cs="Times New Roman"/>
          <w:sz w:val="24"/>
          <w:szCs w:val="24"/>
        </w:rPr>
        <w:t>vínculo</w:t>
      </w:r>
      <w:r w:rsidR="00D03B85" w:rsidRPr="00E06EF1">
        <w:rPr>
          <w:rFonts w:ascii="Times New Roman" w:hAnsi="Times New Roman" w:cs="Times New Roman"/>
          <w:sz w:val="24"/>
          <w:szCs w:val="24"/>
        </w:rPr>
        <w:t>s</w:t>
      </w:r>
      <w:r w:rsidRPr="00E06EF1">
        <w:rPr>
          <w:rFonts w:ascii="Times New Roman" w:hAnsi="Times New Roman" w:cs="Times New Roman"/>
          <w:sz w:val="24"/>
          <w:szCs w:val="24"/>
        </w:rPr>
        <w:t>.</w:t>
      </w:r>
      <w:r w:rsidR="00213541">
        <w:rPr>
          <w:rFonts w:ascii="Times New Roman" w:hAnsi="Times New Roman" w:cs="Times New Roman"/>
          <w:sz w:val="24"/>
          <w:szCs w:val="24"/>
        </w:rPr>
        <w:t xml:space="preserve"> Os controles existentes na COPAAC são precários e não englobam a totalidade dos indícios indicados pela CGU.  </w:t>
      </w:r>
      <w:r w:rsidR="00EA1CB1">
        <w:rPr>
          <w:rFonts w:ascii="Times New Roman" w:hAnsi="Times New Roman" w:cs="Times New Roman"/>
          <w:sz w:val="24"/>
          <w:szCs w:val="24"/>
        </w:rPr>
        <w:t>Além d</w:t>
      </w:r>
      <w:r w:rsidR="002526DB">
        <w:rPr>
          <w:rFonts w:ascii="Times New Roman" w:hAnsi="Times New Roman" w:cs="Times New Roman"/>
          <w:sz w:val="24"/>
          <w:szCs w:val="24"/>
        </w:rPr>
        <w:t>isso, a maioria dos casos trata</w:t>
      </w:r>
      <w:r w:rsidR="00EA1CB1">
        <w:rPr>
          <w:rFonts w:ascii="Times New Roman" w:hAnsi="Times New Roman" w:cs="Times New Roman"/>
          <w:sz w:val="24"/>
          <w:szCs w:val="24"/>
        </w:rPr>
        <w:t xml:space="preserve">-se de casos indicados em Relatório no exercício 2011, correndo o 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>risco</w:t>
      </w:r>
      <w:r w:rsidR="00EA1CB1">
        <w:rPr>
          <w:rFonts w:ascii="Times New Roman" w:hAnsi="Times New Roman" w:cs="Times New Roman"/>
          <w:color w:val="000000"/>
          <w:sz w:val="24"/>
          <w:szCs w:val="24"/>
        </w:rPr>
        <w:t xml:space="preserve"> dessas possíveis irregularidades prescreverem pela ausência de ação </w:t>
      </w:r>
      <w:proofErr w:type="spellStart"/>
      <w:r w:rsidR="00EA1CB1">
        <w:rPr>
          <w:rFonts w:ascii="Times New Roman" w:hAnsi="Times New Roman" w:cs="Times New Roman"/>
          <w:color w:val="000000"/>
          <w:sz w:val="24"/>
          <w:szCs w:val="24"/>
        </w:rPr>
        <w:t>apuratória</w:t>
      </w:r>
      <w:proofErr w:type="spellEnd"/>
      <w:r w:rsidR="00EA1CB1">
        <w:rPr>
          <w:rFonts w:ascii="Times New Roman" w:hAnsi="Times New Roman" w:cs="Times New Roman"/>
          <w:color w:val="000000"/>
          <w:sz w:val="24"/>
          <w:szCs w:val="24"/>
        </w:rPr>
        <w:t xml:space="preserve"> pela UFRPE.</w:t>
      </w:r>
    </w:p>
    <w:p w:rsidR="00EA1CB1" w:rsidRPr="00FE414B" w:rsidRDefault="00EA1CB1" w:rsidP="00EA1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414B">
        <w:rPr>
          <w:rFonts w:ascii="Times New Roman" w:hAnsi="Times New Roman" w:cs="Times New Roman"/>
          <w:sz w:val="24"/>
          <w:szCs w:val="24"/>
        </w:rPr>
        <w:t xml:space="preserve">Sobre isso,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Lei nº 8.112/90 disciplina no art. 142 o prazo para a prescrição punitiva da administração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</w:t>
      </w:r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>stabelece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ação disciplinar se </w:t>
      </w:r>
      <w:proofErr w:type="gramStart"/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>extinguirá</w:t>
      </w:r>
      <w:proofErr w:type="gramEnd"/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cinco anos, quanto às infrações puníveis com demissão, cassação de aposentadoria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E4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disponibilidade e destituição de cargos em comissão, em dois anos, quanto à suspensão e em cento e oitenta dias, quanto à advertência.</w:t>
      </w:r>
    </w:p>
    <w:p w:rsidR="00D03B85" w:rsidRPr="00E06EF1" w:rsidRDefault="00A706BF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</w:t>
      </w:r>
      <w:r w:rsidR="00D03B85" w:rsidRPr="00E06EF1">
        <w:rPr>
          <w:rFonts w:ascii="Times New Roman" w:hAnsi="Times New Roman" w:cs="Times New Roman"/>
          <w:sz w:val="24"/>
          <w:szCs w:val="24"/>
        </w:rPr>
        <w:t xml:space="preserve"> fato importante é que</w:t>
      </w:r>
      <w:r w:rsidR="003A4E4F" w:rsidRPr="00E06EF1">
        <w:rPr>
          <w:rFonts w:ascii="Times New Roman" w:hAnsi="Times New Roman" w:cs="Times New Roman"/>
          <w:sz w:val="24"/>
          <w:szCs w:val="24"/>
        </w:rPr>
        <w:t xml:space="preserve"> além do descumprimento legal da acumulação de cargos,</w:t>
      </w:r>
      <w:r w:rsidR="00D03B85" w:rsidRPr="00E06EF1">
        <w:rPr>
          <w:rFonts w:ascii="Times New Roman" w:hAnsi="Times New Roman" w:cs="Times New Roman"/>
          <w:sz w:val="24"/>
          <w:szCs w:val="24"/>
        </w:rPr>
        <w:t xml:space="preserve"> as ausências dessas apurações podem fragilizar a verificação de possíveis descumprimentos de jornada de trabalho na UFRPE</w:t>
      </w:r>
      <w:r w:rsidR="00C45713" w:rsidRPr="00E06EF1">
        <w:rPr>
          <w:rFonts w:ascii="Times New Roman" w:hAnsi="Times New Roman" w:cs="Times New Roman"/>
          <w:sz w:val="24"/>
          <w:szCs w:val="24"/>
        </w:rPr>
        <w:t>, sendo este um requisito constitucional para a regularidade da acumulação, conforme art</w:t>
      </w:r>
      <w:r w:rsidR="00D03B85" w:rsidRPr="00E06EF1">
        <w:rPr>
          <w:rFonts w:ascii="Times New Roman" w:hAnsi="Times New Roman" w:cs="Times New Roman"/>
          <w:sz w:val="24"/>
          <w:szCs w:val="24"/>
        </w:rPr>
        <w:t>.</w:t>
      </w:r>
      <w:r w:rsidR="00C45713" w:rsidRPr="00E06EF1">
        <w:rPr>
          <w:rFonts w:ascii="Times New Roman" w:hAnsi="Times New Roman" w:cs="Times New Roman"/>
          <w:sz w:val="24"/>
          <w:szCs w:val="24"/>
        </w:rPr>
        <w:t xml:space="preserve"> 37, redação dada pela Emenda Constitucional nº 19/1998 Conforme segue:</w:t>
      </w:r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proofErr w:type="gramStart"/>
      <w:r w:rsidRPr="00E06EF1">
        <w:rPr>
          <w:i/>
          <w:color w:val="000000"/>
          <w:szCs w:val="24"/>
        </w:rPr>
        <w:lastRenderedPageBreak/>
        <w:t>“Art. 37.</w:t>
      </w:r>
      <w:proofErr w:type="gramEnd"/>
      <w:r w:rsidRPr="00E06EF1">
        <w:rPr>
          <w:i/>
          <w:color w:val="000000"/>
          <w:szCs w:val="24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 </w:t>
      </w:r>
      <w:hyperlink r:id="rId7" w:anchor="art3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19, de 1998)</w:t>
        </w:r>
      </w:hyperlink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>(...)</w:t>
      </w:r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rStyle w:val="Hyperlink"/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 xml:space="preserve">XVI - é vedada a acumulação remunerada de cargos públicos, exceto, </w:t>
      </w:r>
      <w:r w:rsidRPr="00EF7E63">
        <w:rPr>
          <w:i/>
          <w:color w:val="000000"/>
          <w:szCs w:val="24"/>
          <w:u w:val="single"/>
        </w:rPr>
        <w:t>quando houver compatibilidade de horários</w:t>
      </w:r>
      <w:r w:rsidRPr="00E06EF1">
        <w:rPr>
          <w:i/>
          <w:color w:val="000000"/>
          <w:szCs w:val="24"/>
        </w:rPr>
        <w:t xml:space="preserve">, observado em qualquer caso o disposto no inciso XI: </w:t>
      </w:r>
      <w:hyperlink r:id="rId8" w:anchor="art3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19, de 1998)</w:t>
        </w:r>
      </w:hyperlink>
      <w:r w:rsidR="00EF7E63">
        <w:t xml:space="preserve"> (grifo nosso</w:t>
      </w:r>
      <w:proofErr w:type="gramStart"/>
      <w:r w:rsidR="00EF7E63">
        <w:t>)</w:t>
      </w:r>
      <w:proofErr w:type="gramEnd"/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 xml:space="preserve">a) a de dois cargos de professor; </w:t>
      </w:r>
      <w:hyperlink r:id="rId9" w:anchor="art3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19, de 1998)</w:t>
        </w:r>
        <w:proofErr w:type="gramStart"/>
      </w:hyperlink>
      <w:proofErr w:type="gramEnd"/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 xml:space="preserve">b) a de um cargo de professor com outro técnico ou científico; </w:t>
      </w:r>
      <w:hyperlink r:id="rId10" w:anchor="art3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19, de 1998)</w:t>
        </w:r>
        <w:proofErr w:type="gramStart"/>
      </w:hyperlink>
      <w:proofErr w:type="gramEnd"/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 xml:space="preserve">c) a de dois cargos ou empregos privativos de profissionais de saúde, com profissões regulamentadas; </w:t>
      </w:r>
      <w:hyperlink r:id="rId11" w:anchor="art1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34, de 2001)</w:t>
        </w:r>
        <w:proofErr w:type="gramStart"/>
      </w:hyperlink>
      <w:proofErr w:type="gramEnd"/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 xml:space="preserve">XVII - a proibição de acumular estende-se a empregos e funções e abrange autarquias, fundações, empresas públicas, sociedades de economia mista, suas subsidiárias, e sociedades controladas, direta ou indiretamente, pelo poder público; </w:t>
      </w:r>
      <w:hyperlink r:id="rId12" w:anchor="art3" w:history="1">
        <w:r w:rsidRPr="00E06EF1">
          <w:rPr>
            <w:rStyle w:val="Hyperlink"/>
            <w:i/>
            <w:color w:val="000000"/>
            <w:szCs w:val="24"/>
          </w:rPr>
          <w:t>(Redação dada pela Emenda Constitucional nº 19, de 1998)</w:t>
        </w:r>
        <w:proofErr w:type="gramStart"/>
      </w:hyperlink>
      <w:proofErr w:type="gramEnd"/>
    </w:p>
    <w:p w:rsidR="00C45713" w:rsidRPr="00E06EF1" w:rsidRDefault="00C45713" w:rsidP="00C45713">
      <w:pPr>
        <w:pStyle w:val="NormalWeb"/>
        <w:tabs>
          <w:tab w:val="left" w:pos="3686"/>
        </w:tabs>
        <w:autoSpaceDE w:val="0"/>
        <w:spacing w:before="0" w:after="0"/>
        <w:jc w:val="both"/>
        <w:rPr>
          <w:i/>
          <w:color w:val="000000"/>
          <w:szCs w:val="24"/>
        </w:rPr>
      </w:pPr>
      <w:r w:rsidRPr="00E06EF1">
        <w:rPr>
          <w:i/>
          <w:color w:val="000000"/>
          <w:szCs w:val="24"/>
        </w:rPr>
        <w:t>(</w:t>
      </w:r>
      <w:proofErr w:type="gramStart"/>
      <w:r w:rsidRPr="00E06EF1">
        <w:rPr>
          <w:i/>
          <w:color w:val="000000"/>
          <w:szCs w:val="24"/>
        </w:rPr>
        <w:t>...)”</w:t>
      </w:r>
      <w:proofErr w:type="gramEnd"/>
    </w:p>
    <w:p w:rsidR="00F45EF8" w:rsidRDefault="00F45EF8" w:rsidP="0007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EF1" w:rsidRPr="00E06EF1" w:rsidRDefault="00E06EF1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Além disso, o Decreto nº 94.664 de 23/07/87, estabelece os critérios para servidores Docentes em Regime de Dedicação Exclusiva, conforme art. 14 descrito a seguir.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lang w:eastAsia="pt-BR"/>
        </w:rPr>
        <w:t> </w:t>
      </w: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Art.</w:t>
      </w:r>
      <w:r w:rsidRPr="00E06EF1">
        <w:rPr>
          <w:rFonts w:ascii="Times New Roman" w:eastAsia="Times New Roman" w:hAnsi="Times New Roman" w:cs="Times New Roman"/>
          <w:i/>
          <w:color w:val="000000"/>
          <w:lang w:eastAsia="pt-BR"/>
        </w:rPr>
        <w:t> </w:t>
      </w: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14. O Professor da carreira do Magistério Superior será submetido a um dos seguintes regimes de trabalho: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I - dedicação exclusiva, com obrigação de prestar quarenta horas semanais de trabalho em dois turnos diários completos e impedimento do exercício de outra atividade remunerada, pública ou privada;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II - tempo parcial de vinte horas semanais de trabalho.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1º No regime de dedicação exclusiva admitir-se-á: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a) participação em órgãos de deliberação coletiva relacionada com as funções de Magistério;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b) participação em comissões julgadoras ou verificadoras, relacionadas com o ensino ou a pesquisa;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c) percepção de direitos autorais ou correlatos;</w:t>
      </w:r>
    </w:p>
    <w:p w:rsid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</w:pPr>
      <w:r w:rsidRPr="00E06EF1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        d) colaboração esporádica, remunerada ou não, em assuntos de sua especialidade e devidamente autorizada pela instituição, de acordo com as normas aprovadas pelo conselho superior competente.</w:t>
      </w:r>
    </w:p>
    <w:p w:rsid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</w:pP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E06EF1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 caso de servidores com vínculos com empresas, aplica-se o art. 117, inciso X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 parágrafo único</w:t>
      </w:r>
      <w:r w:rsidRPr="00E06EF1">
        <w:rPr>
          <w:rFonts w:ascii="Times New Roman" w:eastAsia="Times New Roman" w:hAnsi="Times New Roman" w:cs="Times New Roman"/>
          <w:color w:val="000000"/>
          <w:sz w:val="24"/>
          <w:lang w:eastAsia="pt-BR"/>
        </w:rPr>
        <w:t>: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E06EF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       </w:t>
      </w:r>
      <w:r w:rsidRPr="00E06EF1">
        <w:rPr>
          <w:rStyle w:val="apple-converted-space"/>
          <w:rFonts w:ascii="Times New Roman" w:hAnsi="Times New Roman" w:cs="Times New Roman"/>
          <w:i/>
          <w:color w:val="000000"/>
          <w:sz w:val="24"/>
          <w:shd w:val="clear" w:color="auto" w:fill="FFFFFF"/>
        </w:rPr>
        <w:t> </w:t>
      </w:r>
      <w:bookmarkStart w:id="0" w:name="art117"/>
      <w:bookmarkEnd w:id="0"/>
      <w:r w:rsidRPr="00E06EF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Art. 117.  Ao servidor é proibido:</w:t>
      </w:r>
    </w:p>
    <w:p w:rsidR="00E06EF1" w:rsidRPr="00E06EF1" w:rsidRDefault="00E06EF1" w:rsidP="00E06E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E06EF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 </w:t>
      </w:r>
      <w:r w:rsidRPr="00E06EF1">
        <w:rPr>
          <w:rStyle w:val="apple-converted-space"/>
          <w:rFonts w:ascii="Times New Roman" w:hAnsi="Times New Roman" w:cs="Times New Roman"/>
          <w:i/>
          <w:color w:val="000000"/>
          <w:sz w:val="24"/>
          <w:shd w:val="clear" w:color="auto" w:fill="FFFFFF"/>
        </w:rPr>
        <w:t> </w:t>
      </w:r>
      <w:bookmarkStart w:id="1" w:name="art117x...."/>
      <w:bookmarkEnd w:id="1"/>
      <w:r w:rsidRPr="00E06EF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X - participar de gerência ou administração de sociedade privada, personificada ou não personificada, exercer o comércio, exceto na qualidade de acionista, cotista ou comanditário;</w:t>
      </w:r>
    </w:p>
    <w:p w:rsidR="00E06EF1" w:rsidRPr="00E06EF1" w:rsidRDefault="00E06EF1" w:rsidP="00E06EF1">
      <w:pPr>
        <w:pStyle w:val="NormalWeb"/>
        <w:shd w:val="clear" w:color="auto" w:fill="FFFFFF"/>
        <w:jc w:val="both"/>
        <w:rPr>
          <w:i/>
          <w:color w:val="000000"/>
          <w:szCs w:val="22"/>
        </w:rPr>
      </w:pPr>
      <w:r w:rsidRPr="00E06EF1">
        <w:rPr>
          <w:i/>
          <w:color w:val="000000"/>
          <w:szCs w:val="22"/>
        </w:rPr>
        <w:lastRenderedPageBreak/>
        <w:t>  </w:t>
      </w:r>
      <w:r w:rsidRPr="00E06EF1">
        <w:rPr>
          <w:rStyle w:val="apple-converted-space"/>
          <w:i/>
          <w:color w:val="000000"/>
          <w:szCs w:val="22"/>
        </w:rPr>
        <w:t> </w:t>
      </w:r>
      <w:bookmarkStart w:id="2" w:name="art117p."/>
      <w:bookmarkEnd w:id="2"/>
      <w:r w:rsidRPr="00E06EF1">
        <w:rPr>
          <w:i/>
          <w:color w:val="000000"/>
          <w:szCs w:val="22"/>
        </w:rPr>
        <w:t>Parágrafo único.  A vedação de que trata o inciso X do caput</w:t>
      </w:r>
      <w:r w:rsidRPr="00E06EF1">
        <w:rPr>
          <w:rStyle w:val="apple-converted-space"/>
          <w:i/>
          <w:iCs/>
          <w:color w:val="000000"/>
          <w:szCs w:val="22"/>
        </w:rPr>
        <w:t> </w:t>
      </w:r>
      <w:r w:rsidRPr="00E06EF1">
        <w:rPr>
          <w:i/>
          <w:color w:val="000000"/>
          <w:szCs w:val="22"/>
        </w:rPr>
        <w:t>deste artigo não se aplica nos seguintes casos: </w:t>
      </w:r>
      <w:hyperlink r:id="rId13" w:anchor="art172" w:history="1">
        <w:r w:rsidRPr="00E06EF1">
          <w:rPr>
            <w:rStyle w:val="Hyperlink"/>
            <w:i/>
            <w:szCs w:val="22"/>
          </w:rPr>
          <w:t>(Incluído pela Lei nº 11.784, de 2008</w:t>
        </w:r>
        <w:proofErr w:type="gramStart"/>
      </w:hyperlink>
      <w:proofErr w:type="gramEnd"/>
    </w:p>
    <w:p w:rsidR="00E06EF1" w:rsidRPr="00E06EF1" w:rsidRDefault="00E06EF1" w:rsidP="00E06EF1">
      <w:pPr>
        <w:pStyle w:val="NormalWeb"/>
        <w:shd w:val="clear" w:color="auto" w:fill="FFFFFF"/>
        <w:jc w:val="both"/>
        <w:rPr>
          <w:i/>
          <w:color w:val="000000"/>
          <w:szCs w:val="22"/>
        </w:rPr>
      </w:pPr>
      <w:r w:rsidRPr="00E06EF1">
        <w:rPr>
          <w:i/>
          <w:color w:val="000000"/>
          <w:szCs w:val="22"/>
        </w:rPr>
        <w:t>       </w:t>
      </w:r>
      <w:r w:rsidRPr="00E06EF1">
        <w:rPr>
          <w:rStyle w:val="apple-converted-space"/>
          <w:i/>
          <w:color w:val="000000"/>
          <w:szCs w:val="22"/>
        </w:rPr>
        <w:t> </w:t>
      </w:r>
      <w:bookmarkStart w:id="3" w:name="art117pi."/>
      <w:bookmarkEnd w:id="3"/>
      <w:r w:rsidRPr="00E06EF1">
        <w:rPr>
          <w:i/>
          <w:color w:val="000000"/>
          <w:szCs w:val="22"/>
        </w:rPr>
        <w:t>I - participação nos conselhos de administração e fiscal de empresas ou entidades em que a União detenha, direta ou indiretamente, participação no capital social ou em sociedade cooperativa constituída para prestar serviços a seus membros; e </w:t>
      </w:r>
      <w:hyperlink r:id="rId14" w:anchor="art172" w:history="1">
        <w:r w:rsidRPr="00E06EF1">
          <w:rPr>
            <w:rStyle w:val="Hyperlink"/>
            <w:i/>
            <w:szCs w:val="22"/>
          </w:rPr>
          <w:t>(Incluído pela Lei nº 11.784, de 2008</w:t>
        </w:r>
        <w:proofErr w:type="gramStart"/>
      </w:hyperlink>
      <w:proofErr w:type="gramEnd"/>
    </w:p>
    <w:p w:rsidR="00E06EF1" w:rsidRPr="00E06EF1" w:rsidRDefault="00E06EF1" w:rsidP="00E06EF1">
      <w:pPr>
        <w:pStyle w:val="NormalWeb"/>
        <w:shd w:val="clear" w:color="auto" w:fill="FFFFFF"/>
        <w:jc w:val="both"/>
        <w:rPr>
          <w:i/>
          <w:color w:val="000000"/>
          <w:szCs w:val="22"/>
        </w:rPr>
      </w:pPr>
      <w:r w:rsidRPr="00E06EF1">
        <w:rPr>
          <w:i/>
          <w:color w:val="000000"/>
          <w:szCs w:val="22"/>
        </w:rPr>
        <w:t>       </w:t>
      </w:r>
      <w:r w:rsidRPr="00E06EF1">
        <w:rPr>
          <w:rStyle w:val="apple-converted-space"/>
          <w:i/>
          <w:color w:val="000000"/>
          <w:szCs w:val="22"/>
        </w:rPr>
        <w:t> </w:t>
      </w:r>
      <w:bookmarkStart w:id="4" w:name="art117pii."/>
      <w:bookmarkEnd w:id="4"/>
      <w:r w:rsidRPr="00E06EF1">
        <w:rPr>
          <w:i/>
          <w:color w:val="000000"/>
          <w:szCs w:val="22"/>
        </w:rPr>
        <w:t>II - gozo de licença para o trato de interesses particulares, na forma do art. 91 desta Lei, observada a legislação sobre conflito de interesses.</w:t>
      </w:r>
      <w:r w:rsidRPr="00E06EF1">
        <w:rPr>
          <w:rStyle w:val="apple-converted-space"/>
          <w:i/>
          <w:color w:val="000000"/>
          <w:szCs w:val="22"/>
        </w:rPr>
        <w:t> </w:t>
      </w:r>
      <w:hyperlink r:id="rId15" w:anchor="art172" w:history="1">
        <w:r w:rsidRPr="00E06EF1">
          <w:rPr>
            <w:rStyle w:val="Hyperlink"/>
            <w:i/>
            <w:szCs w:val="22"/>
          </w:rPr>
          <w:t>(Incluído pela Lei nº 11.784, de 2008</w:t>
        </w:r>
        <w:proofErr w:type="gramStart"/>
      </w:hyperlink>
      <w:proofErr w:type="gramEnd"/>
    </w:p>
    <w:p w:rsidR="00E06EF1" w:rsidRPr="00E06EF1" w:rsidRDefault="00E06EF1" w:rsidP="00E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00" w:rsidRPr="00E06EF1" w:rsidRDefault="00E90B00" w:rsidP="00E90B00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6EF1">
        <w:rPr>
          <w:rFonts w:ascii="Times New Roman" w:hAnsi="Times New Roman" w:cs="Times New Roman"/>
          <w:b/>
          <w:sz w:val="24"/>
          <w:szCs w:val="24"/>
          <w:lang w:eastAsia="ko-KR"/>
        </w:rPr>
        <w:t>CONSEQUÊNCIAS</w:t>
      </w:r>
    </w:p>
    <w:p w:rsidR="00E90B00" w:rsidRDefault="00C45713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color w:val="000000"/>
          <w:sz w:val="24"/>
          <w:szCs w:val="24"/>
        </w:rPr>
        <w:t>A ausência das apurações de todos os indícios dos servidores listados pode ocasionar possíveis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 xml:space="preserve"> prejuízos quanto ao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descumprimento de jornada de trabalho na UFRPE</w:t>
      </w:r>
      <w:r w:rsidR="00BC261C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e do regime de dedicação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06BF">
        <w:rPr>
          <w:rFonts w:ascii="Times New Roman" w:hAnsi="Times New Roman" w:cs="Times New Roman"/>
          <w:color w:val="000000"/>
          <w:sz w:val="24"/>
          <w:szCs w:val="24"/>
        </w:rPr>
        <w:t xml:space="preserve">bem como o 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>acúmulo ilícito de cargos, empregos e funções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 xml:space="preserve"> e vínculos com empresas</w:t>
      </w:r>
      <w:r w:rsidR="003A4E4F" w:rsidRPr="00E06EF1">
        <w:rPr>
          <w:rFonts w:ascii="Times New Roman" w:hAnsi="Times New Roman" w:cs="Times New Roman"/>
          <w:color w:val="000000"/>
          <w:sz w:val="24"/>
          <w:szCs w:val="24"/>
        </w:rPr>
        <w:t>, em desacordo com o Art. 73 da Constituição Federal, be</w:t>
      </w:r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m como </w:t>
      </w:r>
      <w:proofErr w:type="spellStart"/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 xml:space="preserve">117 e </w:t>
      </w:r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>118 da Lei 8.112/90 e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 xml:space="preserve"> não</w:t>
      </w:r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21D">
        <w:rPr>
          <w:rFonts w:ascii="Times New Roman" w:hAnsi="Times New Roman" w:cs="Times New Roman"/>
          <w:sz w:val="24"/>
          <w:szCs w:val="24"/>
        </w:rPr>
        <w:t>atendimento a</w:t>
      </w:r>
      <w:r w:rsidR="001C62DA" w:rsidRPr="00E06EF1">
        <w:rPr>
          <w:rFonts w:ascii="Times New Roman" w:hAnsi="Times New Roman" w:cs="Times New Roman"/>
          <w:sz w:val="24"/>
          <w:szCs w:val="24"/>
        </w:rPr>
        <w:t>o artigo 14 do Decreto nº 94.664 de 23/07/87.</w:t>
      </w:r>
    </w:p>
    <w:p w:rsidR="00A706BF" w:rsidRPr="00E06EF1" w:rsidRDefault="00A706BF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pode haver a prescrição das possíveis irregularidades tendo em vista a data d</w:t>
      </w:r>
      <w:r w:rsidR="00862127">
        <w:rPr>
          <w:rFonts w:ascii="Times New Roman" w:hAnsi="Times New Roman" w:cs="Times New Roman"/>
          <w:sz w:val="24"/>
          <w:szCs w:val="24"/>
        </w:rPr>
        <w:t>e conhecimento pela UFRPE</w:t>
      </w:r>
      <w:r>
        <w:rPr>
          <w:rFonts w:ascii="Times New Roman" w:hAnsi="Times New Roman" w:cs="Times New Roman"/>
          <w:sz w:val="24"/>
          <w:szCs w:val="24"/>
        </w:rPr>
        <w:t xml:space="preserve"> desses casos, conforme já tratado acima.</w:t>
      </w:r>
    </w:p>
    <w:p w:rsidR="003A4E4F" w:rsidRDefault="003A4E4F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7B6EB3" w:rsidRDefault="008F0F12" w:rsidP="008F0F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6EB3">
        <w:rPr>
          <w:rFonts w:ascii="Times New Roman" w:hAnsi="Times New Roman" w:cs="Times New Roman"/>
          <w:b/>
          <w:bCs/>
        </w:rPr>
        <w:t>AVALIAÇÃO DE RISCOS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Risco(s) identificado(s):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0F12" w:rsidRDefault="009D684B" w:rsidP="009D684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84B">
        <w:rPr>
          <w:rFonts w:ascii="Times New Roman" w:hAnsi="Times New Roman" w:cs="Times New Roman"/>
          <w:color w:val="000000"/>
          <w:sz w:val="24"/>
          <w:szCs w:val="24"/>
        </w:rPr>
        <w:t xml:space="preserve">Possibilidade dos servidores estarem acumulando irregularmente cargos, empregos e funções públicas, bem como terem vínculos </w:t>
      </w:r>
      <w:r>
        <w:rPr>
          <w:rFonts w:ascii="Times New Roman" w:hAnsi="Times New Roman" w:cs="Times New Roman"/>
          <w:color w:val="000000"/>
          <w:sz w:val="24"/>
          <w:szCs w:val="24"/>
        </w:rPr>
        <w:t>societários com empresas em desconformidade com a legislação.</w:t>
      </w:r>
    </w:p>
    <w:p w:rsidR="009D684B" w:rsidRDefault="00EE16F9" w:rsidP="009D684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apuração dos indícios tornarem-se frágeis, tendo em vista que nem todos os vínculos foram incluídos nas análises.</w:t>
      </w:r>
    </w:p>
    <w:p w:rsidR="00A706BF" w:rsidRPr="009D684B" w:rsidRDefault="00A706BF" w:rsidP="00A706B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Ocorrência de prescrição punitiva.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Causas: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EE16F9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Controles ineficientes, levando a COPAAC a não apurar todos os casos já indicados para cada servidor.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Impactos: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213541" w:rsidP="00EE16F9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F9">
        <w:rPr>
          <w:rFonts w:ascii="Times New Roman" w:hAnsi="Times New Roman" w:cs="Times New Roman"/>
          <w:color w:val="000000"/>
          <w:sz w:val="24"/>
          <w:szCs w:val="24"/>
        </w:rPr>
        <w:t>Descumprimento de jornada de trabalho pelos servidores</w:t>
      </w:r>
      <w:r w:rsidR="00EF7E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16F9" w:rsidRDefault="00EE16F9" w:rsidP="00EE16F9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Possibilidade de prejuízo ao erário.</w:t>
      </w:r>
    </w:p>
    <w:p w:rsidR="00EE16F9" w:rsidRPr="00EE16F9" w:rsidRDefault="00EE16F9" w:rsidP="00EE16F9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Prejuízo na oferta de serviços institucionais.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Classificação do n</w:t>
      </w: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ível de risco = Nível de probabilidade X Nível de Impacto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probabilidade (identificado pela AUDIN) = </w:t>
      </w:r>
      <w:r w:rsidR="00B816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Média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impacto (identificado pela AUDIN) = </w:t>
      </w:r>
      <w:r w:rsidR="002135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Nível de Risco =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135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EF7E63" w:rsidRDefault="00EF7E63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7E63" w:rsidRDefault="00EF7E63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F0F12" w:rsidRPr="00256A87" w:rsidRDefault="008F0F12" w:rsidP="008F0F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A87">
        <w:rPr>
          <w:rFonts w:ascii="Times New Roman" w:hAnsi="Times New Roman" w:cs="Times New Roman"/>
          <w:b/>
          <w:color w:val="000000"/>
          <w:sz w:val="24"/>
          <w:szCs w:val="24"/>
        </w:rPr>
        <w:t>CLASSIFICAÇÃO DO RISCO IDENTIFICADO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A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7D2DE4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pict>
          <v:oval id="_x0000_s1027" style="position:absolute;left:0;text-align:left;margin-left:263.65pt;margin-top:14.25pt;width:49.5pt;height:30.9pt;z-index:251661312" filled="f" strokecolor="#548dd4" strokeweight="3pt"/>
        </w:pic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256A87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0F12" w:rsidRPr="00F703A3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F703A3">
        <w:rPr>
          <w:rFonts w:ascii="Times New Roman" w:hAnsi="Times New Roman" w:cs="Times New Roman"/>
          <w:color w:val="000000"/>
          <w:sz w:val="20"/>
          <w:szCs w:val="20"/>
        </w:rPr>
        <w:t>Fonte: elaborado pela AUDIN (2015).</w:t>
      </w: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RECOMENDAÇÕES</w:t>
      </w: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0BE" w:rsidRPr="00E06EF1" w:rsidRDefault="005F1D1D" w:rsidP="005F1D1D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Recomendação 00</w:t>
      </w:r>
      <w:r w:rsidR="008621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Start"/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3D22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D22" w:rsidRPr="00E06EF1" w:rsidRDefault="00EF7E63" w:rsidP="005F1D1D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Que a COPAAC</w:t>
      </w:r>
      <w:proofErr w:type="gramStart"/>
      <w:r w:rsidR="0086212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862127">
        <w:rPr>
          <w:rFonts w:ascii="Times New Roman" w:hAnsi="Times New Roman" w:cs="Times New Roman"/>
          <w:color w:val="000000"/>
          <w:sz w:val="24"/>
          <w:szCs w:val="24"/>
        </w:rPr>
        <w:t>inicie de imediato a apuração desses casos juntamente com</w:t>
      </w:r>
      <w:r w:rsidR="00E43D22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processos já existentes </w:t>
      </w:r>
      <w:r w:rsidR="00B430BE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de cada servidor </w:t>
      </w:r>
      <w:r w:rsidR="00E43D22" w:rsidRPr="00E06EF1">
        <w:rPr>
          <w:rFonts w:ascii="Times New Roman" w:hAnsi="Times New Roman" w:cs="Times New Roman"/>
          <w:color w:val="000000"/>
          <w:sz w:val="24"/>
          <w:szCs w:val="24"/>
        </w:rPr>
        <w:t>para que a análise seja completa incluindo todos os casos de acumulação.</w:t>
      </w:r>
    </w:p>
    <w:p w:rsidR="005F1D1D" w:rsidRPr="00E06EF1" w:rsidRDefault="005F1D1D" w:rsidP="005F1D1D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0BE" w:rsidRPr="00E06EF1" w:rsidRDefault="005F1D1D" w:rsidP="005F1D1D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Recomendação 00</w:t>
      </w:r>
      <w:r w:rsidR="0086212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Start"/>
      <w:r w:rsidR="00E43D22" w:rsidRPr="00E06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D22" w:rsidRDefault="00EF7E63" w:rsidP="005F1D1D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Que a COPAAC i</w:t>
      </w:r>
      <w:r w:rsidR="00B430BE" w:rsidRPr="00E06EF1">
        <w:rPr>
          <w:rFonts w:ascii="Times New Roman" w:hAnsi="Times New Roman" w:cs="Times New Roman"/>
          <w:color w:val="000000"/>
          <w:sz w:val="24"/>
          <w:szCs w:val="24"/>
        </w:rPr>
        <w:t>nclua</w:t>
      </w:r>
      <w:r w:rsidR="005F1D1D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nas análises</w:t>
      </w:r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a verificação do cumprimento de jornada de trabalho e</w:t>
      </w:r>
      <w:r w:rsidR="00E43D22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compatibilidade de horários, já que a compatibilidade é requisito constitucional e legal para </w:t>
      </w:r>
      <w:r w:rsidR="005F1D1D" w:rsidRPr="00E06EF1">
        <w:rPr>
          <w:rFonts w:ascii="Times New Roman" w:hAnsi="Times New Roman" w:cs="Times New Roman"/>
          <w:color w:val="000000"/>
          <w:sz w:val="24"/>
          <w:szCs w:val="24"/>
        </w:rPr>
        <w:t>a legalidade da acumulação de cargos, empregos e funções</w:t>
      </w:r>
      <w:r w:rsidR="001C62DA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, conforme art. 37 da Constituição Federal, art. 118 da Lei 8.112/90 e art. 14 do </w:t>
      </w:r>
      <w:r w:rsidR="001C62DA" w:rsidRPr="00E06EF1">
        <w:rPr>
          <w:rFonts w:ascii="Times New Roman" w:hAnsi="Times New Roman" w:cs="Times New Roman"/>
          <w:sz w:val="24"/>
          <w:szCs w:val="24"/>
        </w:rPr>
        <w:t>Decreto nº 94.664</w:t>
      </w:r>
      <w:r w:rsidR="000F021D">
        <w:rPr>
          <w:rFonts w:ascii="Times New Roman" w:hAnsi="Times New Roman" w:cs="Times New Roman"/>
          <w:sz w:val="24"/>
          <w:szCs w:val="24"/>
        </w:rPr>
        <w:t>, bem como proibição estabelecida no art. 117, inciso XVIII</w:t>
      </w:r>
      <w:r w:rsidR="005F1D1D" w:rsidRPr="00E06E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D1D" w:rsidRPr="00E06EF1" w:rsidRDefault="005F1D1D" w:rsidP="00E43D22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Default="00BA0618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Prazo para atendimento: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Imediato</w:t>
      </w:r>
    </w:p>
    <w:p w:rsidR="002526DB" w:rsidRDefault="002526DB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2526DB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26DB" w:rsidRPr="00E06EF1" w:rsidRDefault="002526DB" w:rsidP="002526D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Recomendação 003</w:t>
      </w: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6DB" w:rsidRDefault="002526DB" w:rsidP="002526D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Que a COPAAC priorize os indícios mais antigos de irregularidades de acumulação e estabeleça um plano de ação para apuração célere desses processos.</w:t>
      </w:r>
    </w:p>
    <w:p w:rsidR="002526DB" w:rsidRPr="00E06EF1" w:rsidRDefault="002526DB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Default="002526DB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E28E8">
        <w:rPr>
          <w:rFonts w:ascii="Times New Roman" w:hAnsi="Times New Roman" w:cs="Times New Roman"/>
          <w:b/>
          <w:color w:val="000000"/>
          <w:sz w:val="24"/>
          <w:szCs w:val="24"/>
        </w:rPr>
        <w:t>Prazo de atendimento: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28E8">
        <w:rPr>
          <w:rFonts w:ascii="Times New Roman" w:hAnsi="Times New Roman" w:cs="Times New Roman"/>
          <w:color w:val="000000"/>
          <w:sz w:val="24"/>
          <w:szCs w:val="24"/>
        </w:rPr>
        <w:t>15 dias a contar do recebimento.</w:t>
      </w:r>
    </w:p>
    <w:p w:rsidR="002526DB" w:rsidRPr="00E06EF1" w:rsidRDefault="002526DB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B85" w:rsidRPr="00EF7E63" w:rsidRDefault="00D03B85" w:rsidP="00EF7E6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63">
        <w:rPr>
          <w:rFonts w:ascii="Times New Roman" w:hAnsi="Times New Roman" w:cs="Times New Roman"/>
          <w:b/>
          <w:sz w:val="24"/>
          <w:szCs w:val="24"/>
        </w:rPr>
        <w:t>DESCRIÇÃO SUMÁRIA</w:t>
      </w:r>
    </w:p>
    <w:p w:rsidR="00D03B85" w:rsidRPr="00E06EF1" w:rsidRDefault="00D03B85" w:rsidP="00D03B85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Ausência de apuração de casos de acumulação de aposentadorias</w:t>
      </w:r>
    </w:p>
    <w:p w:rsidR="00BA0618" w:rsidRPr="00E06EF1" w:rsidRDefault="00D03B85" w:rsidP="00D03B85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>FATO</w:t>
      </w:r>
    </w:p>
    <w:p w:rsidR="00D03B85" w:rsidRPr="00E06EF1" w:rsidRDefault="00D03B85" w:rsidP="00D03B8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3B85" w:rsidRPr="00E06EF1" w:rsidRDefault="00D03B85" w:rsidP="00D03B8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sz w:val="24"/>
          <w:szCs w:val="24"/>
        </w:rPr>
        <w:t>Verificamos que os indícios de acumulação ilegal de aposentadorias citados no Relatório da Controladoria Geral da União nº 201108973</w:t>
      </w:r>
      <w:r w:rsidR="0073061B" w:rsidRPr="00E06EF1">
        <w:rPr>
          <w:rFonts w:ascii="Times New Roman" w:hAnsi="Times New Roman" w:cs="Times New Roman"/>
          <w:sz w:val="24"/>
          <w:szCs w:val="24"/>
        </w:rPr>
        <w:t xml:space="preserve"> e transcritos abaixo</w:t>
      </w:r>
      <w:r w:rsidRPr="00E06EF1">
        <w:rPr>
          <w:rFonts w:ascii="Times New Roman" w:hAnsi="Times New Roman" w:cs="Times New Roman"/>
          <w:sz w:val="24"/>
          <w:szCs w:val="24"/>
        </w:rPr>
        <w:t xml:space="preserve"> ainda não foram apurados e os processos sequer foram </w:t>
      </w:r>
      <w:r w:rsidR="0073061B" w:rsidRPr="00E06EF1">
        <w:rPr>
          <w:rFonts w:ascii="Times New Roman" w:hAnsi="Times New Roman" w:cs="Times New Roman"/>
          <w:sz w:val="24"/>
          <w:szCs w:val="24"/>
        </w:rPr>
        <w:t>abertos</w:t>
      </w:r>
      <w:r w:rsidRPr="00E06E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8"/>
        <w:gridCol w:w="2314"/>
        <w:gridCol w:w="1371"/>
        <w:gridCol w:w="1595"/>
        <w:gridCol w:w="1382"/>
        <w:gridCol w:w="1027"/>
      </w:tblGrid>
      <w:tr w:rsidR="002E66D0" w:rsidRPr="00E06EF1" w:rsidTr="0073061B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73061B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Siape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73061B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Servidor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Cargo na UFRPE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73061B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Segunda aposentadoria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2E66D0" w:rsidP="0073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Cargo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Regime de Trabalho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383826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Alberico Farias Da Silva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Produtor Cultural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382941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Aldeirze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Sales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Técnico Em Assuntos Educacionais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1 E 2 Graus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Cardoso Do Rego Barros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Economista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Carlos Cordeiro Silva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Gondim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Lossio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383851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Aristoteles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Vieira Leite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FUNASA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Ciência</w:t>
            </w:r>
            <w:proofErr w:type="gram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Saude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Augusto Manoel De Albuquerque Barros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383869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Cesar Garcia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Engenheiro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Agronomo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383070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Clayton Anderson De Azevedo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Basico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Tecnologico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1130015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Edward Robinson De Barros Cavalcanti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384783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Espedito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Meira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Couceiro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384786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Euclides Feitosa Filho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2130237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Eufrazio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Souza Santos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Eurides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Simoes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Duarte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Educacionais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Antonio Ribeiro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Gilvan De Almeida Maciel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330213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Gilvando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Leitao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Rios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6385963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Glenio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Cavalcanti De Barros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UFRJ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Ivone Holanda De Oliveira Pereira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383975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De Castro E Souza Filho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384624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Henrique Cavalcanti Pinto Da Carvalheira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Pessoa De Farias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Leonidas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Espirito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Santo Saraiva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 Gonzaga Da Paz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Médico Veterinário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Conceicao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Lins De Albuquerque Almeida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384053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Conceicao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Tinoco Machado De Albuquerque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16198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Ignez Cavalcante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384093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Martinho Gomes De Queiroz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385005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Maryse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Nogueira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Paranagua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3 Grau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6384097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Miriam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Asfora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Técnico Em Assuntos Educacionais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Murilo Salgado Carneiro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Fiscal Federal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Agropecuario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384113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De Araujo Barreto Campelo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Ens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Basico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Tecnologico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</w:tr>
      <w:tr w:rsidR="002E66D0" w:rsidRPr="00E06EF1" w:rsidTr="0073061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2090623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Roberto Figueiredo Ramalho De Azevedo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UFRPE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Professon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3 Grau Visitante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384541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Selma Rodrigues De Oliveira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384830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Waldecy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Fernandes Pinto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Arq. E Urbanista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384199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Waldenir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Caldeira De Jesus Coelho De Araujo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384204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Zaida Maria Costa Cavalcanti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FJN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Pesquisador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  <w:tr w:rsidR="002E66D0" w:rsidRPr="00E06EF1" w:rsidTr="0073061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384207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Zeneudo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Luna</w:t>
            </w:r>
            <w:proofErr w:type="spellEnd"/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Machado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Professor Magistério Superior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Pesquisador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D0" w:rsidRPr="00E06EF1" w:rsidRDefault="002E66D0" w:rsidP="002E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0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</w:tr>
    </w:tbl>
    <w:p w:rsidR="00D03B85" w:rsidRPr="00E06EF1" w:rsidRDefault="00D03B85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56A" w:rsidRDefault="0073061B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Em resposta a Solicitação de Auditoria nº 38/2015 – AUDIN, a COPAAC se pronunciou através do </w:t>
      </w:r>
      <w:proofErr w:type="spellStart"/>
      <w:r w:rsidRPr="00E06EF1">
        <w:rPr>
          <w:rFonts w:ascii="Times New Roman" w:hAnsi="Times New Roman" w:cs="Times New Roman"/>
          <w:color w:val="000000"/>
          <w:sz w:val="24"/>
          <w:szCs w:val="24"/>
        </w:rPr>
        <w:t>Memo</w:t>
      </w:r>
      <w:proofErr w:type="spellEnd"/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7F0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>23/2015</w:t>
      </w:r>
      <w:r w:rsidR="0025656A" w:rsidRPr="00E06EF1">
        <w:rPr>
          <w:rFonts w:ascii="Times New Roman" w:hAnsi="Times New Roman" w:cs="Times New Roman"/>
          <w:color w:val="000000"/>
          <w:sz w:val="24"/>
          <w:szCs w:val="24"/>
        </w:rPr>
        <w:t>: “Informamos que não foram encontrados nessa comissão processos referentes a esses servidores”</w:t>
      </w:r>
      <w:r w:rsidR="000F0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021D" w:rsidRDefault="000F021D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21D" w:rsidRDefault="000F021D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Ressaltamos que os indícios foram apontados desde 2011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 xml:space="preserve"> e encaminhados para a Superintendência de Gestão de Pessoas – SUGEP à época. Esses casos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podem cair em prescrição caso não sejam apurados de imediato.</w:t>
      </w:r>
    </w:p>
    <w:p w:rsidR="000F021D" w:rsidRDefault="000F021D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21D" w:rsidRDefault="000F021D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acumulação de aposentadoria</w:t>
      </w:r>
      <w:r w:rsidR="00EF7E6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obedece aos mesmos critérios da Acumulação de Cargos, Empregos e Funções, conforme art. 118, parágrafo 3º da lei 8.112/90:</w:t>
      </w:r>
    </w:p>
    <w:p w:rsidR="000F021D" w:rsidRDefault="000F021D" w:rsidP="00D03B85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21D" w:rsidRPr="00FE414B" w:rsidRDefault="000F021D" w:rsidP="00FE414B">
      <w:pPr>
        <w:pStyle w:val="PargrafodaLista"/>
        <w:ind w:left="0"/>
        <w:jc w:val="both"/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FE414B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bookmarkStart w:id="5" w:name="art118§3"/>
      <w:bookmarkEnd w:id="5"/>
      <w:r w:rsidRPr="00FE414B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§ 3</w:t>
      </w:r>
      <w:r w:rsidRPr="00FE414B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  <w:vertAlign w:val="superscript"/>
        </w:rPr>
        <w:t>o</w:t>
      </w:r>
      <w:r w:rsidRPr="00FE414B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  Considera-se acumulação proibida </w:t>
      </w:r>
      <w:proofErr w:type="gramStart"/>
      <w:r w:rsidRPr="00FE414B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a</w:t>
      </w:r>
      <w:proofErr w:type="gramEnd"/>
      <w:r w:rsidRPr="00FE414B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percepção de vencimento de cargo ou emprego público efetivo com proventos da inatividade, salvo quando os cargos de que decorram essas remunerações forem acumuláveis na atividade.</w:t>
      </w:r>
      <w:hyperlink r:id="rId17" w:anchor="art1" w:history="1">
        <w:r w:rsidRPr="00FE414B">
          <w:rPr>
            <w:rStyle w:val="apple-converted-space"/>
            <w:rFonts w:ascii="Times New Roman" w:hAnsi="Times New Roman" w:cs="Times New Roman"/>
            <w:i/>
            <w:color w:val="0000FF"/>
            <w:sz w:val="24"/>
            <w:szCs w:val="20"/>
            <w:u w:val="single"/>
            <w:shd w:val="clear" w:color="auto" w:fill="FFFFFF"/>
          </w:rPr>
          <w:t> </w:t>
        </w:r>
        <w:r w:rsidRPr="00FE414B">
          <w:rPr>
            <w:rStyle w:val="Hyperlink"/>
            <w:rFonts w:ascii="Times New Roman" w:hAnsi="Times New Roman" w:cs="Times New Roman"/>
            <w:i/>
            <w:sz w:val="24"/>
            <w:szCs w:val="20"/>
            <w:shd w:val="clear" w:color="auto" w:fill="FFFFFF"/>
          </w:rPr>
          <w:t>(Incluído pela Lei nº 9.527, de 10.12.97)</w:t>
        </w:r>
      </w:hyperlink>
      <w:r w:rsidR="00FE414B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.</w:t>
      </w:r>
    </w:p>
    <w:p w:rsidR="00FE414B" w:rsidRPr="00E06EF1" w:rsidRDefault="00FE414B" w:rsidP="00FE414B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6EF1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CONSEQUÊNCIAS</w:t>
      </w:r>
    </w:p>
    <w:p w:rsidR="00FE414B" w:rsidRDefault="00FE414B" w:rsidP="00FE4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A ausência das apurações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indícios dos servidores </w:t>
      </w:r>
      <w:r>
        <w:rPr>
          <w:rFonts w:ascii="Times New Roman" w:hAnsi="Times New Roman" w:cs="Times New Roman"/>
          <w:color w:val="000000"/>
          <w:sz w:val="24"/>
          <w:szCs w:val="24"/>
        </w:rPr>
        <w:t>citados no RA 201108973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pode ocasionar </w:t>
      </w:r>
      <w:r w:rsidR="00EF7E63">
        <w:rPr>
          <w:rFonts w:ascii="Times New Roman" w:hAnsi="Times New Roman" w:cs="Times New Roman"/>
          <w:color w:val="000000"/>
          <w:sz w:val="24"/>
          <w:szCs w:val="24"/>
        </w:rPr>
        <w:t>o descumprimento legal relativo à percepção de proventos com cargos inacumuláveis</w:t>
      </w:r>
      <w:r>
        <w:rPr>
          <w:rFonts w:ascii="Times New Roman" w:hAnsi="Times New Roman" w:cs="Times New Roman"/>
          <w:color w:val="000000"/>
          <w:sz w:val="24"/>
          <w:szCs w:val="24"/>
        </w:rPr>
        <w:t>, conforme art. 118, § 3º.</w:t>
      </w:r>
    </w:p>
    <w:p w:rsidR="00FE414B" w:rsidRDefault="00FE414B" w:rsidP="00FE4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Além disso</w:t>
      </w:r>
      <w:r w:rsidR="00BD27F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existe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706BF">
        <w:rPr>
          <w:rFonts w:ascii="Times New Roman" w:hAnsi="Times New Roman" w:cs="Times New Roman"/>
          <w:color w:val="000000"/>
          <w:sz w:val="24"/>
          <w:szCs w:val="24"/>
        </w:rPr>
        <w:t xml:space="preserve"> novamente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riscos dessas possíveis irregularidades prescreverem pela ausência de ação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apuratória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pela UFRPE.</w:t>
      </w:r>
    </w:p>
    <w:p w:rsidR="00B8167D" w:rsidRPr="007B6EB3" w:rsidRDefault="00B8167D" w:rsidP="00B816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6EB3">
        <w:rPr>
          <w:rFonts w:ascii="Times New Roman" w:hAnsi="Times New Roman" w:cs="Times New Roman"/>
          <w:b/>
          <w:bCs/>
        </w:rPr>
        <w:t>AVALIAÇÃO DE RISCOS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Pr="00351241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Risco(s) identificado(s):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167D" w:rsidRDefault="00B8167D" w:rsidP="00B8167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84B">
        <w:rPr>
          <w:rFonts w:ascii="Times New Roman" w:hAnsi="Times New Roman" w:cs="Times New Roman"/>
          <w:color w:val="000000"/>
          <w:sz w:val="24"/>
          <w:szCs w:val="24"/>
        </w:rPr>
        <w:t xml:space="preserve">Possibilidade dos servidores estarem acumulando irregularmente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proventos de aposentadoria com </w:t>
      </w:r>
      <w:r w:rsidRPr="009D684B">
        <w:rPr>
          <w:rFonts w:ascii="Times New Roman" w:hAnsi="Times New Roman" w:cs="Times New Roman"/>
          <w:color w:val="000000"/>
          <w:sz w:val="24"/>
          <w:szCs w:val="24"/>
        </w:rPr>
        <w:t>cargos, empregos e funções públicas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67D" w:rsidRPr="009D684B" w:rsidRDefault="00B8167D" w:rsidP="00B8167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Ocorrência de prescrição punitiva.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Pr="00351241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Causas: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Controles ineficientes, levando a 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>SUGEP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não</w:t>
      </w:r>
      <w:r w:rsidR="00793F26">
        <w:rPr>
          <w:rFonts w:ascii="Times New Roman" w:hAnsi="Times New Roman" w:cs="Times New Roman"/>
          <w:color w:val="000000"/>
          <w:sz w:val="24"/>
          <w:szCs w:val="24"/>
        </w:rPr>
        <w:t xml:space="preserve"> apurar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 casos informados desde 2011 à UFRPE, através de Relatório Anual de Contas.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Pr="00351241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Impactos: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Possibilidade de prejuízo ao erário.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Classificação do n</w:t>
      </w: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ível de risco = Nível de probabilidade X Nível de Impacto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probabilidade (identificado pela AUDIN) = </w:t>
      </w:r>
      <w:r w:rsidRPr="00BE04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impacto (identificado pela AUDIN) =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Nível de Risco =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Pr="00256A87" w:rsidRDefault="00B8167D" w:rsidP="00B816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A87">
        <w:rPr>
          <w:rFonts w:ascii="Times New Roman" w:hAnsi="Times New Roman" w:cs="Times New Roman"/>
          <w:b/>
          <w:color w:val="000000"/>
          <w:sz w:val="24"/>
          <w:szCs w:val="24"/>
        </w:rPr>
        <w:t>CLASSIFICAÇÃO DO RISCO IDENTIFICADO</w: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A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7D2DE4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pict>
          <v:oval id="_x0000_s1028" style="position:absolute;left:0;text-align:left;margin-left:199.15pt;margin-top:14.25pt;width:49.5pt;height:30.9pt;z-index:251664384" filled="f" strokecolor="#548dd4" strokeweight="3pt"/>
        </w:pict>
      </w: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Default="00B8167D" w:rsidP="00B816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2526DB" w:rsidP="002526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DB" w:rsidRDefault="00B8167D" w:rsidP="002526D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2526DB" w:rsidRDefault="002526DB" w:rsidP="002526D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414B" w:rsidRPr="002526DB" w:rsidRDefault="00B8167D" w:rsidP="002526DB">
      <w:pPr>
        <w:spacing w:after="0"/>
        <w:ind w:left="1416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03A3">
        <w:rPr>
          <w:rFonts w:ascii="Times New Roman" w:hAnsi="Times New Roman" w:cs="Times New Roman"/>
          <w:color w:val="000000"/>
          <w:sz w:val="20"/>
          <w:szCs w:val="20"/>
        </w:rPr>
        <w:t>Fonte: elaborado pela AUDIN (2015).</w:t>
      </w:r>
    </w:p>
    <w:p w:rsidR="002526DB" w:rsidRDefault="002526DB" w:rsidP="00FE4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4B" w:rsidRPr="00E06EF1" w:rsidRDefault="00FE414B" w:rsidP="00FE4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RECOMENDAÇÕES</w:t>
      </w:r>
    </w:p>
    <w:p w:rsidR="00FE414B" w:rsidRPr="00E06EF1" w:rsidRDefault="00FE414B" w:rsidP="00FE4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4B" w:rsidRPr="00E06EF1" w:rsidRDefault="00FE414B" w:rsidP="00FE414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Recomendação 001 </w:t>
      </w:r>
    </w:p>
    <w:p w:rsidR="00FE414B" w:rsidRDefault="00EF7E63" w:rsidP="00FE414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 a </w:t>
      </w:r>
      <w:r w:rsidR="002526DB">
        <w:rPr>
          <w:rFonts w:ascii="Times New Roman" w:hAnsi="Times New Roman" w:cs="Times New Roman"/>
          <w:color w:val="000000"/>
          <w:sz w:val="24"/>
          <w:szCs w:val="24"/>
        </w:rPr>
        <w:t>SUGEP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FE414B" w:rsidRPr="00E06EF1">
        <w:rPr>
          <w:rFonts w:ascii="Times New Roman" w:hAnsi="Times New Roman" w:cs="Times New Roman"/>
          <w:color w:val="000000"/>
          <w:sz w:val="24"/>
          <w:szCs w:val="24"/>
        </w:rPr>
        <w:t>nicie de imediato a abertura de processos para apuração individualizada dos casos citados</w:t>
      </w:r>
      <w:r w:rsidR="00862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8E8" w:rsidRDefault="00EE28E8" w:rsidP="00FE414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8E8" w:rsidRPr="00EE28E8" w:rsidRDefault="00EE28E8" w:rsidP="00FE414B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8E8">
        <w:rPr>
          <w:rFonts w:ascii="Times New Roman" w:hAnsi="Times New Roman" w:cs="Times New Roman"/>
          <w:b/>
          <w:color w:val="000000"/>
          <w:sz w:val="24"/>
          <w:szCs w:val="24"/>
        </w:rPr>
        <w:t>Prazo de atendimento: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28E8">
        <w:rPr>
          <w:rFonts w:ascii="Times New Roman" w:hAnsi="Times New Roman" w:cs="Times New Roman"/>
          <w:color w:val="000000"/>
          <w:sz w:val="24"/>
          <w:szCs w:val="24"/>
        </w:rPr>
        <w:t>Imediato</w:t>
      </w:r>
    </w:p>
    <w:p w:rsidR="00EE6375" w:rsidRDefault="00EE6375" w:rsidP="00FE414B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E63" w:rsidRDefault="00EF7E63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color w:val="000000"/>
        </w:rPr>
        <w:t>3- CONCLUSÃO</w:t>
      </w:r>
    </w:p>
    <w:p w:rsidR="00EF7E63" w:rsidRDefault="00EF7E63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F7E63" w:rsidRDefault="00EF7E63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Diante das informações apresentadas, enca</w:t>
      </w:r>
      <w:r w:rsidR="00BD27F0">
        <w:rPr>
          <w:rFonts w:ascii="Times New Roman" w:eastAsia="Times New Roman" w:hAnsi="Times New Roman" w:cs="Times New Roman"/>
          <w:color w:val="000000"/>
        </w:rPr>
        <w:t>minhamos a presente Nota de Auditoria</w:t>
      </w:r>
      <w:r>
        <w:rPr>
          <w:rFonts w:ascii="Times New Roman" w:eastAsia="Times New Roman" w:hAnsi="Times New Roman" w:cs="Times New Roman"/>
          <w:color w:val="000000"/>
        </w:rPr>
        <w:t xml:space="preserve"> à alta Administração e ao Conselho Universitário para conhecimento e/ou adoção das medidas cabíveis quanto 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="00862127">
        <w:rPr>
          <w:rFonts w:ascii="Times New Roman" w:eastAsia="Times New Roman" w:hAnsi="Times New Roman" w:cs="Times New Roman"/>
          <w:color w:val="000000"/>
        </w:rPr>
        <w:t xml:space="preserve"> imediata</w:t>
      </w:r>
      <w:r>
        <w:rPr>
          <w:rFonts w:ascii="Times New Roman" w:eastAsia="Times New Roman" w:hAnsi="Times New Roman" w:cs="Times New Roman"/>
          <w:color w:val="000000"/>
        </w:rPr>
        <w:t xml:space="preserve"> da</w:t>
      </w:r>
      <w:r w:rsidR="00BD27F0">
        <w:rPr>
          <w:rFonts w:ascii="Times New Roman" w:eastAsia="Times New Roman" w:hAnsi="Times New Roman" w:cs="Times New Roman"/>
          <w:color w:val="000000"/>
        </w:rPr>
        <w:t>s recomendações, as quais possuem risco elevado para a UFRPE.</w:t>
      </w:r>
    </w:p>
    <w:p w:rsidR="00A706BF" w:rsidRDefault="00A706BF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E06EF1" w:rsidRDefault="000A493A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Recife, 18</w:t>
      </w:r>
      <w:r w:rsidR="00B8167D">
        <w:rPr>
          <w:rFonts w:ascii="Times New Roman" w:hAnsi="Times New Roman" w:cs="Times New Roman"/>
          <w:color w:val="000000"/>
          <w:sz w:val="24"/>
          <w:szCs w:val="24"/>
        </w:rPr>
        <w:t>/11/2015</w:t>
      </w:r>
    </w:p>
    <w:p w:rsidR="00862127" w:rsidRPr="00E06EF1" w:rsidRDefault="00862127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B8167D" w:rsidRDefault="00BA0618" w:rsidP="00BA0618">
      <w:pPr>
        <w:pStyle w:val="PargrafodaLista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Juliana Siqueira </w:t>
      </w:r>
      <w:proofErr w:type="spellStart"/>
      <w:r w:rsidRPr="00B8167D">
        <w:rPr>
          <w:rFonts w:ascii="Times New Roman" w:hAnsi="Times New Roman" w:cs="Times New Roman"/>
          <w:b/>
          <w:color w:val="000000"/>
          <w:sz w:val="24"/>
          <w:szCs w:val="24"/>
        </w:rPr>
        <w:t>Sercundes</w:t>
      </w:r>
      <w:proofErr w:type="spellEnd"/>
    </w:p>
    <w:p w:rsidR="00BA0618" w:rsidRPr="00B8167D" w:rsidRDefault="00BA0618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Auditora Interna da UFRPE</w:t>
      </w:r>
    </w:p>
    <w:p w:rsidR="00B8167D" w:rsidRPr="00B8167D" w:rsidRDefault="00B8167D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67D">
        <w:rPr>
          <w:rFonts w:ascii="Times New Roman" w:hAnsi="Times New Roman" w:cs="Times New Roman"/>
          <w:color w:val="000000"/>
          <w:sz w:val="24"/>
          <w:szCs w:val="24"/>
        </w:rPr>
        <w:t>Siape</w:t>
      </w:r>
      <w:proofErr w:type="spellEnd"/>
      <w:r w:rsidRPr="00B8167D">
        <w:rPr>
          <w:rFonts w:ascii="Times New Roman" w:hAnsi="Times New Roman" w:cs="Times New Roman"/>
          <w:color w:val="000000"/>
          <w:sz w:val="24"/>
          <w:szCs w:val="24"/>
        </w:rPr>
        <w:t>: 1755478</w:t>
      </w:r>
    </w:p>
    <w:p w:rsidR="00BA0618" w:rsidRDefault="00BA0618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127" w:rsidRPr="00B8167D" w:rsidRDefault="00862127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B8167D" w:rsidRDefault="00B8167D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Revisado e aprovado por</w:t>
      </w:r>
    </w:p>
    <w:p w:rsidR="00B8167D" w:rsidRDefault="00B8167D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67D" w:rsidRPr="00B8167D" w:rsidRDefault="00B8167D" w:rsidP="00B816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b/>
          <w:sz w:val="24"/>
          <w:szCs w:val="24"/>
        </w:rPr>
        <w:t>Antônio Cândido de Souza Júnior</w:t>
      </w:r>
    </w:p>
    <w:p w:rsidR="00B8167D" w:rsidRPr="00B8167D" w:rsidRDefault="00B8167D" w:rsidP="00B816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Auditor Titular da Unidade de Auditoria Interna da UFRPE</w:t>
      </w:r>
    </w:p>
    <w:p w:rsidR="00B8167D" w:rsidRPr="00B8167D" w:rsidRDefault="00B8167D" w:rsidP="00B8167D">
      <w:pPr>
        <w:spacing w:after="0"/>
        <w:jc w:val="center"/>
        <w:rPr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Mat. SIAPE: 1657579</w:t>
      </w:r>
      <w:bookmarkStart w:id="7" w:name="__UnoMark__6766_114326417"/>
      <w:bookmarkStart w:id="8" w:name="__UnoMark__6765_114326417"/>
      <w:bookmarkStart w:id="9" w:name="__UnoMark__6768_114326417"/>
      <w:bookmarkStart w:id="10" w:name="__UnoMark__6767_114326417"/>
      <w:bookmarkStart w:id="11" w:name="__UnoMark__6770_114326417"/>
      <w:bookmarkStart w:id="12" w:name="__UnoMark__6769_114326417"/>
      <w:bookmarkStart w:id="13" w:name="__UnoMark__6772_114326417"/>
      <w:bookmarkStart w:id="14" w:name="__UnoMark__6771_114326417"/>
      <w:bookmarkStart w:id="15" w:name="__UnoMark__6774_114326417"/>
      <w:bookmarkStart w:id="16" w:name="__UnoMark__6773_114326417"/>
      <w:bookmarkStart w:id="17" w:name="__UnoMark__6775_11432641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B8167D" w:rsidRPr="00B8167D" w:rsidSect="005F5429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61" w:rsidRDefault="00607861" w:rsidP="0007417B">
      <w:pPr>
        <w:spacing w:after="0" w:line="240" w:lineRule="auto"/>
      </w:pPr>
      <w:r>
        <w:separator/>
      </w:r>
    </w:p>
  </w:endnote>
  <w:endnote w:type="continuationSeparator" w:id="0">
    <w:p w:rsidR="00607861" w:rsidRDefault="00607861" w:rsidP="0007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61" w:rsidRDefault="00607861" w:rsidP="0007417B">
      <w:pPr>
        <w:spacing w:after="0" w:line="240" w:lineRule="auto"/>
      </w:pPr>
      <w:r>
        <w:separator/>
      </w:r>
    </w:p>
  </w:footnote>
  <w:footnote w:type="continuationSeparator" w:id="0">
    <w:p w:rsidR="00607861" w:rsidRDefault="00607861" w:rsidP="0007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6" w:rsidRPr="00AE7724" w:rsidRDefault="00793F26" w:rsidP="0007417B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>
          <wp:extent cx="428625" cy="462915"/>
          <wp:effectExtent l="19050" t="0" r="9525" b="0"/>
          <wp:docPr id="1" name="internal-source-marker_0.23868431676674412" descr="https://lh6.googleusercontent.com/3XnU5DS0338XjvnTlV0Kjs9P9FlXDTxxnop9f_9LDjs1Y6NW_o9kWdcSEivFnfZHxsO25hjsHMYzs8T9SnNyO57MZKesgUtEsx7BZdIUbpiIbOvmn6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23868431676674412" descr="https://lh6.googleusercontent.com/3XnU5DS0338XjvnTlV0Kjs9P9FlXDTxxnop9f_9LDjs1Y6NW_o9kWdcSEivFnfZHxsO25hjsHMYzs8T9SnNyO57MZKesgUtEsx7BZdIUbpiIbOvmn6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F26" w:rsidRPr="007C5E6D" w:rsidRDefault="00793F26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MINISTÉRIO DA EDUCAÇÃO</w:t>
    </w:r>
  </w:p>
  <w:p w:rsidR="00793F26" w:rsidRPr="007C5E6D" w:rsidRDefault="00793F26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UNIVERSIDADE FEDERAL RURAL DE PERNAMBUCO</w:t>
    </w:r>
  </w:p>
  <w:p w:rsidR="00793F26" w:rsidRPr="007C5E6D" w:rsidRDefault="00793F26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AUDITORIA INTERNA</w:t>
    </w:r>
  </w:p>
  <w:p w:rsidR="00793F26" w:rsidRPr="007C5E6D" w:rsidRDefault="00793F26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Rua Dom Manoel de Medeiros, s/n - Dois Irmãos; 52171-900 - Recife (PE)</w:t>
    </w:r>
  </w:p>
  <w:p w:rsidR="00793F26" w:rsidRDefault="00793F26" w:rsidP="0007417B">
    <w:pPr>
      <w:spacing w:after="0" w:line="240" w:lineRule="auto"/>
      <w:jc w:val="center"/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Fone/Fax: (81) 3320-6022; E-mail:</w:t>
    </w:r>
    <w:r w:rsidRPr="007C5E6D">
      <w:rPr>
        <w:rFonts w:ascii="Spranq eco sans" w:eastAsia="Times New Roman" w:hAnsi="Spranq eco sans"/>
        <w:i/>
        <w:iCs/>
        <w:color w:val="000000"/>
        <w:sz w:val="16"/>
        <w:szCs w:val="16"/>
        <w:lang w:eastAsia="pt-BR"/>
      </w:rPr>
      <w:t xml:space="preserve"> </w:t>
    </w:r>
    <w:hyperlink r:id="rId2" w:history="1">
      <w:r w:rsidRPr="005F6880">
        <w:rPr>
          <w:rStyle w:val="Hyperlink"/>
          <w:rFonts w:ascii="Spranq eco sans" w:eastAsia="Times New Roman" w:hAnsi="Spranq eco sans"/>
          <w:i/>
          <w:iCs/>
          <w:sz w:val="16"/>
          <w:szCs w:val="16"/>
          <w:lang w:eastAsia="pt-BR"/>
        </w:rPr>
        <w:t>audin@reitoria.ufrpe.br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6B"/>
    <w:multiLevelType w:val="hybridMultilevel"/>
    <w:tmpl w:val="30F6BF6E"/>
    <w:lvl w:ilvl="0" w:tplc="203029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A5B"/>
    <w:multiLevelType w:val="hybridMultilevel"/>
    <w:tmpl w:val="DED09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36E6"/>
    <w:multiLevelType w:val="hybridMultilevel"/>
    <w:tmpl w:val="1316A9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6670F"/>
    <w:multiLevelType w:val="hybridMultilevel"/>
    <w:tmpl w:val="E8BC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2115"/>
    <w:multiLevelType w:val="hybridMultilevel"/>
    <w:tmpl w:val="C3145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54A49"/>
    <w:multiLevelType w:val="hybridMultilevel"/>
    <w:tmpl w:val="A718D5FA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17B"/>
    <w:rsid w:val="0007417B"/>
    <w:rsid w:val="000A493A"/>
    <w:rsid w:val="000E2573"/>
    <w:rsid w:val="000F021D"/>
    <w:rsid w:val="001B4AB7"/>
    <w:rsid w:val="001C62DA"/>
    <w:rsid w:val="001E2CFF"/>
    <w:rsid w:val="001E7198"/>
    <w:rsid w:val="00213541"/>
    <w:rsid w:val="002526DB"/>
    <w:rsid w:val="0025656A"/>
    <w:rsid w:val="00276209"/>
    <w:rsid w:val="00295C6E"/>
    <w:rsid w:val="002B6DD4"/>
    <w:rsid w:val="002C6924"/>
    <w:rsid w:val="002E66D0"/>
    <w:rsid w:val="003168B3"/>
    <w:rsid w:val="00324787"/>
    <w:rsid w:val="0035429D"/>
    <w:rsid w:val="00354CD8"/>
    <w:rsid w:val="00390A3C"/>
    <w:rsid w:val="00390FCC"/>
    <w:rsid w:val="003A1611"/>
    <w:rsid w:val="003A4E4F"/>
    <w:rsid w:val="00402C85"/>
    <w:rsid w:val="00416495"/>
    <w:rsid w:val="00436CE7"/>
    <w:rsid w:val="00443E7C"/>
    <w:rsid w:val="00481D18"/>
    <w:rsid w:val="004E0F0B"/>
    <w:rsid w:val="004F62AF"/>
    <w:rsid w:val="005925DC"/>
    <w:rsid w:val="005A1DD0"/>
    <w:rsid w:val="005E4E9C"/>
    <w:rsid w:val="005F1D1D"/>
    <w:rsid w:val="005F5429"/>
    <w:rsid w:val="00607861"/>
    <w:rsid w:val="00626BCA"/>
    <w:rsid w:val="00651BF5"/>
    <w:rsid w:val="00656F4C"/>
    <w:rsid w:val="0065737E"/>
    <w:rsid w:val="00684804"/>
    <w:rsid w:val="006E7C90"/>
    <w:rsid w:val="0073061B"/>
    <w:rsid w:val="007343E2"/>
    <w:rsid w:val="0077202D"/>
    <w:rsid w:val="00793F26"/>
    <w:rsid w:val="007A2B45"/>
    <w:rsid w:val="007D2DE4"/>
    <w:rsid w:val="00815B37"/>
    <w:rsid w:val="00862127"/>
    <w:rsid w:val="00881CE8"/>
    <w:rsid w:val="008B43D6"/>
    <w:rsid w:val="008D51B5"/>
    <w:rsid w:val="008E466E"/>
    <w:rsid w:val="008F0F12"/>
    <w:rsid w:val="00975B24"/>
    <w:rsid w:val="00982218"/>
    <w:rsid w:val="009D30DB"/>
    <w:rsid w:val="009D684B"/>
    <w:rsid w:val="009E6229"/>
    <w:rsid w:val="00A1457C"/>
    <w:rsid w:val="00A260BE"/>
    <w:rsid w:val="00A706BF"/>
    <w:rsid w:val="00AC21BA"/>
    <w:rsid w:val="00AE703E"/>
    <w:rsid w:val="00B15D1F"/>
    <w:rsid w:val="00B430BE"/>
    <w:rsid w:val="00B530C4"/>
    <w:rsid w:val="00B5574E"/>
    <w:rsid w:val="00B674C0"/>
    <w:rsid w:val="00B8167D"/>
    <w:rsid w:val="00B81E18"/>
    <w:rsid w:val="00B877C3"/>
    <w:rsid w:val="00BA0618"/>
    <w:rsid w:val="00BB0580"/>
    <w:rsid w:val="00BC261C"/>
    <w:rsid w:val="00BD27F0"/>
    <w:rsid w:val="00BF2AAE"/>
    <w:rsid w:val="00C45713"/>
    <w:rsid w:val="00CF5CA2"/>
    <w:rsid w:val="00D03B85"/>
    <w:rsid w:val="00D40211"/>
    <w:rsid w:val="00D415F4"/>
    <w:rsid w:val="00D5322C"/>
    <w:rsid w:val="00D9669A"/>
    <w:rsid w:val="00DB3188"/>
    <w:rsid w:val="00DB5369"/>
    <w:rsid w:val="00E04AC3"/>
    <w:rsid w:val="00E06EF1"/>
    <w:rsid w:val="00E43D22"/>
    <w:rsid w:val="00E90B00"/>
    <w:rsid w:val="00EA1CB1"/>
    <w:rsid w:val="00EE16F9"/>
    <w:rsid w:val="00EE28E8"/>
    <w:rsid w:val="00EE6375"/>
    <w:rsid w:val="00EF7E63"/>
    <w:rsid w:val="00F17E49"/>
    <w:rsid w:val="00F40DB2"/>
    <w:rsid w:val="00F45EF8"/>
    <w:rsid w:val="00F96B8D"/>
    <w:rsid w:val="00FA1F3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17B"/>
  </w:style>
  <w:style w:type="paragraph" w:styleId="Rodap">
    <w:name w:val="footer"/>
    <w:basedOn w:val="Normal"/>
    <w:link w:val="RodapChar"/>
    <w:uiPriority w:val="99"/>
    <w:semiHidden/>
    <w:unhideWhenUsed/>
    <w:rsid w:val="0007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417B"/>
  </w:style>
  <w:style w:type="character" w:styleId="Hyperlink">
    <w:name w:val="Hyperlink"/>
    <w:uiPriority w:val="99"/>
    <w:unhideWhenUsed/>
    <w:rsid w:val="00074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F4C"/>
    <w:pPr>
      <w:ind w:left="720"/>
      <w:contextualSpacing/>
    </w:pPr>
  </w:style>
  <w:style w:type="table" w:styleId="Tabelacomgrade">
    <w:name w:val="Table Grid"/>
    <w:basedOn w:val="Tabelanormal"/>
    <w:uiPriority w:val="59"/>
    <w:rsid w:val="0029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571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0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hyperlink" Target="http://www.planalto.gov.br/ccivil_03/_Ato2007-2010/2008/Lei/L11784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hyperlink" Target="http://www.planalto.gov.br/ccivil_03/constituicao/Emendas/Emc/emc19.htm" TargetMode="External"/><Relationship Id="rId17" Type="http://schemas.openxmlformats.org/officeDocument/2006/relationships/hyperlink" Target="http://www.planalto.gov.br/ccivil_03/LEIS/L9527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Emendas/Emc/emc3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_Ato2007-2010/2008/Lei/L11784.htm" TargetMode="External"/><Relationship Id="rId10" Type="http://schemas.openxmlformats.org/officeDocument/2006/relationships/hyperlink" Target="http://www.planalto.gov.br/ccivil_03/constituicao/Emendas/Emc/emc19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Emendas/Emc/emc19.htm" TargetMode="External"/><Relationship Id="rId14" Type="http://schemas.openxmlformats.org/officeDocument/2006/relationships/hyperlink" Target="http://www.planalto.gov.br/ccivil_03/_Ato2007-2010/2008/Lei/L11784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din@reitoria.ufrpe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2793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Sercundes</dc:creator>
  <cp:lastModifiedBy>ADM</cp:lastModifiedBy>
  <cp:revision>3</cp:revision>
  <cp:lastPrinted>2015-11-18T13:21:00Z</cp:lastPrinted>
  <dcterms:created xsi:type="dcterms:W3CDTF">2015-11-18T13:21:00Z</dcterms:created>
  <dcterms:modified xsi:type="dcterms:W3CDTF">2015-11-18T13:24:00Z</dcterms:modified>
</cp:coreProperties>
</file>